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081"/>
        <w:gridCol w:w="2952"/>
      </w:tblGrid>
      <w:tr w:rsidR="00753047" w:rsidRPr="0019776A" w14:paraId="005967CA" w14:textId="77777777" w:rsidTr="00A42E3B">
        <w:tc>
          <w:tcPr>
            <w:tcW w:w="3227" w:type="dxa"/>
            <w:tcBorders>
              <w:top w:val="single" w:sz="4" w:space="0" w:color="auto"/>
              <w:left w:val="nil"/>
              <w:bottom w:val="nil"/>
              <w:right w:val="nil"/>
            </w:tcBorders>
          </w:tcPr>
          <w:p w14:paraId="72021D93" w14:textId="77777777" w:rsidR="00677D17" w:rsidRPr="0019776A" w:rsidRDefault="00677D17" w:rsidP="00753047">
            <w:pPr>
              <w:pStyle w:val="Title"/>
              <w:tabs>
                <w:tab w:val="left" w:pos="360"/>
              </w:tabs>
              <w:ind w:right="0"/>
              <w:jc w:val="both"/>
              <w:rPr>
                <w:sz w:val="24"/>
                <w:szCs w:val="24"/>
                <w:lang w:val="en-CA" w:eastAsia="en-US"/>
              </w:rPr>
            </w:pPr>
          </w:p>
        </w:tc>
        <w:tc>
          <w:tcPr>
            <w:tcW w:w="4081" w:type="dxa"/>
            <w:tcBorders>
              <w:top w:val="single" w:sz="4" w:space="0" w:color="auto"/>
              <w:left w:val="nil"/>
              <w:bottom w:val="nil"/>
              <w:right w:val="nil"/>
            </w:tcBorders>
          </w:tcPr>
          <w:p w14:paraId="56358C42" w14:textId="77777777" w:rsidR="00677D17" w:rsidRPr="0019776A" w:rsidRDefault="00677D17" w:rsidP="00753047">
            <w:pPr>
              <w:pStyle w:val="Title"/>
              <w:tabs>
                <w:tab w:val="left" w:pos="360"/>
              </w:tabs>
              <w:ind w:right="0"/>
              <w:jc w:val="both"/>
              <w:rPr>
                <w:sz w:val="24"/>
                <w:szCs w:val="24"/>
                <w:lang w:val="en-CA" w:eastAsia="en-US"/>
              </w:rPr>
            </w:pPr>
          </w:p>
        </w:tc>
        <w:tc>
          <w:tcPr>
            <w:tcW w:w="2952" w:type="dxa"/>
            <w:tcBorders>
              <w:top w:val="single" w:sz="4" w:space="0" w:color="auto"/>
              <w:left w:val="nil"/>
              <w:bottom w:val="nil"/>
              <w:right w:val="nil"/>
            </w:tcBorders>
          </w:tcPr>
          <w:p w14:paraId="5F52A38E" w14:textId="77777777" w:rsidR="00677D17" w:rsidRPr="0019776A" w:rsidRDefault="00677D17" w:rsidP="00753047">
            <w:pPr>
              <w:pStyle w:val="Title"/>
              <w:tabs>
                <w:tab w:val="left" w:pos="360"/>
              </w:tabs>
              <w:ind w:right="0"/>
              <w:jc w:val="both"/>
              <w:rPr>
                <w:sz w:val="24"/>
                <w:szCs w:val="24"/>
                <w:lang w:val="en-CA" w:eastAsia="en-US"/>
              </w:rPr>
            </w:pPr>
          </w:p>
        </w:tc>
      </w:tr>
      <w:tr w:rsidR="00753047" w:rsidRPr="0019776A" w14:paraId="28ED3A19" w14:textId="77777777" w:rsidTr="00A42E3B">
        <w:tc>
          <w:tcPr>
            <w:tcW w:w="3227" w:type="dxa"/>
            <w:tcBorders>
              <w:top w:val="nil"/>
              <w:left w:val="nil"/>
              <w:bottom w:val="nil"/>
              <w:right w:val="nil"/>
            </w:tcBorders>
            <w:hideMark/>
          </w:tcPr>
          <w:p w14:paraId="00EF64C3" w14:textId="0C9E451E" w:rsidR="00677D17" w:rsidRPr="0019776A" w:rsidRDefault="00677D17" w:rsidP="00753047">
            <w:pPr>
              <w:pStyle w:val="Title"/>
              <w:tabs>
                <w:tab w:val="left" w:pos="360"/>
              </w:tabs>
              <w:ind w:right="0"/>
              <w:jc w:val="both"/>
              <w:rPr>
                <w:sz w:val="24"/>
                <w:szCs w:val="24"/>
                <w:lang w:val="en-CA" w:eastAsia="en-US"/>
              </w:rPr>
            </w:pPr>
            <w:r w:rsidRPr="0019776A">
              <w:rPr>
                <w:sz w:val="24"/>
                <w:szCs w:val="24"/>
                <w:lang w:val="en-CA"/>
              </w:rPr>
              <w:t>Law 43</w:t>
            </w:r>
            <w:r w:rsidR="008459F7">
              <w:rPr>
                <w:sz w:val="24"/>
                <w:szCs w:val="24"/>
                <w:lang w:val="en-CA"/>
              </w:rPr>
              <w:t>3</w:t>
            </w:r>
            <w:r w:rsidRPr="0019776A">
              <w:rPr>
                <w:sz w:val="24"/>
                <w:szCs w:val="24"/>
                <w:lang w:val="en-CA"/>
              </w:rPr>
              <w:t>C.001</w:t>
            </w:r>
          </w:p>
        </w:tc>
        <w:tc>
          <w:tcPr>
            <w:tcW w:w="4081" w:type="dxa"/>
            <w:tcBorders>
              <w:top w:val="nil"/>
              <w:left w:val="nil"/>
              <w:bottom w:val="nil"/>
              <w:right w:val="nil"/>
            </w:tcBorders>
            <w:hideMark/>
          </w:tcPr>
          <w:p w14:paraId="7AF93F0A" w14:textId="77777777" w:rsidR="00677D17" w:rsidRPr="0019776A" w:rsidRDefault="00677D17" w:rsidP="00753047">
            <w:pPr>
              <w:pStyle w:val="Title"/>
              <w:tabs>
                <w:tab w:val="left" w:pos="360"/>
              </w:tabs>
              <w:ind w:right="0"/>
              <w:jc w:val="both"/>
              <w:rPr>
                <w:sz w:val="24"/>
                <w:szCs w:val="24"/>
                <w:lang w:val="en-CA" w:eastAsia="en-US"/>
              </w:rPr>
            </w:pPr>
            <w:r w:rsidRPr="0019776A">
              <w:rPr>
                <w:sz w:val="24"/>
                <w:szCs w:val="24"/>
                <w:lang w:val="en-CA"/>
              </w:rPr>
              <w:t>Personal Injury Advocacy</w:t>
            </w:r>
          </w:p>
        </w:tc>
        <w:tc>
          <w:tcPr>
            <w:tcW w:w="2952" w:type="dxa"/>
            <w:tcBorders>
              <w:top w:val="nil"/>
              <w:left w:val="nil"/>
              <w:bottom w:val="nil"/>
              <w:right w:val="nil"/>
            </w:tcBorders>
            <w:hideMark/>
          </w:tcPr>
          <w:p w14:paraId="46F465AB" w14:textId="2CB41F29" w:rsidR="00677D17" w:rsidRPr="0019776A" w:rsidRDefault="008459F7" w:rsidP="00106354">
            <w:pPr>
              <w:pStyle w:val="Title"/>
              <w:tabs>
                <w:tab w:val="left" w:pos="360"/>
              </w:tabs>
              <w:ind w:right="0"/>
              <w:jc w:val="both"/>
              <w:rPr>
                <w:sz w:val="24"/>
                <w:szCs w:val="24"/>
                <w:lang w:val="en-CA" w:eastAsia="en-US"/>
              </w:rPr>
            </w:pPr>
            <w:r>
              <w:rPr>
                <w:sz w:val="24"/>
                <w:szCs w:val="24"/>
                <w:lang w:val="en-CA"/>
              </w:rPr>
              <w:t xml:space="preserve">SPRING </w:t>
            </w:r>
            <w:r w:rsidR="00A87486">
              <w:rPr>
                <w:sz w:val="24"/>
                <w:szCs w:val="24"/>
                <w:lang w:val="en-CA"/>
              </w:rPr>
              <w:t>2025</w:t>
            </w:r>
            <w:r w:rsidR="00677D17" w:rsidRPr="0019776A">
              <w:rPr>
                <w:sz w:val="24"/>
                <w:szCs w:val="24"/>
                <w:lang w:val="en-CA"/>
              </w:rPr>
              <w:t xml:space="preserve"> </w:t>
            </w:r>
          </w:p>
        </w:tc>
      </w:tr>
      <w:tr w:rsidR="00753047" w:rsidRPr="0019776A" w14:paraId="1AE74C39" w14:textId="77777777" w:rsidTr="00A42E3B">
        <w:tc>
          <w:tcPr>
            <w:tcW w:w="3227" w:type="dxa"/>
            <w:tcBorders>
              <w:top w:val="nil"/>
              <w:left w:val="nil"/>
              <w:bottom w:val="nil"/>
              <w:right w:val="nil"/>
            </w:tcBorders>
          </w:tcPr>
          <w:p w14:paraId="2FDA96EB" w14:textId="77777777" w:rsidR="00677D17" w:rsidRPr="0019776A" w:rsidRDefault="00677D17" w:rsidP="00753047">
            <w:pPr>
              <w:pStyle w:val="Title"/>
              <w:tabs>
                <w:tab w:val="left" w:pos="360"/>
              </w:tabs>
              <w:ind w:right="0"/>
              <w:jc w:val="left"/>
              <w:rPr>
                <w:sz w:val="24"/>
                <w:szCs w:val="24"/>
                <w:lang w:val="en-CA" w:eastAsia="en-US"/>
              </w:rPr>
            </w:pPr>
          </w:p>
        </w:tc>
        <w:tc>
          <w:tcPr>
            <w:tcW w:w="4081" w:type="dxa"/>
            <w:tcBorders>
              <w:top w:val="nil"/>
              <w:left w:val="nil"/>
              <w:bottom w:val="nil"/>
              <w:right w:val="nil"/>
            </w:tcBorders>
          </w:tcPr>
          <w:p w14:paraId="6FDC73EF" w14:textId="77777777" w:rsidR="00677D17" w:rsidRPr="0019776A" w:rsidRDefault="00677D17" w:rsidP="00753047">
            <w:pPr>
              <w:pStyle w:val="Title"/>
              <w:tabs>
                <w:tab w:val="left" w:pos="360"/>
              </w:tabs>
              <w:ind w:right="0"/>
              <w:jc w:val="left"/>
              <w:rPr>
                <w:b w:val="0"/>
                <w:sz w:val="24"/>
                <w:szCs w:val="24"/>
                <w:lang w:val="en-CA" w:eastAsia="en-US"/>
              </w:rPr>
            </w:pPr>
          </w:p>
        </w:tc>
        <w:tc>
          <w:tcPr>
            <w:tcW w:w="2952" w:type="dxa"/>
            <w:tcBorders>
              <w:top w:val="nil"/>
              <w:left w:val="nil"/>
              <w:bottom w:val="nil"/>
              <w:right w:val="nil"/>
            </w:tcBorders>
          </w:tcPr>
          <w:p w14:paraId="77588B5C" w14:textId="77777777" w:rsidR="00677D17" w:rsidRPr="0019776A" w:rsidRDefault="00677D17" w:rsidP="00753047">
            <w:pPr>
              <w:pStyle w:val="Title"/>
              <w:tabs>
                <w:tab w:val="left" w:pos="360"/>
              </w:tabs>
              <w:ind w:right="0"/>
              <w:jc w:val="left"/>
              <w:rPr>
                <w:sz w:val="24"/>
                <w:szCs w:val="24"/>
                <w:lang w:val="en-CA" w:eastAsia="en-US"/>
              </w:rPr>
            </w:pPr>
          </w:p>
        </w:tc>
      </w:tr>
      <w:tr w:rsidR="00753047" w:rsidRPr="0019776A" w14:paraId="6BEC714E" w14:textId="77777777" w:rsidTr="00A42E3B">
        <w:tc>
          <w:tcPr>
            <w:tcW w:w="3227" w:type="dxa"/>
            <w:tcBorders>
              <w:top w:val="nil"/>
              <w:left w:val="nil"/>
              <w:bottom w:val="nil"/>
              <w:right w:val="nil"/>
            </w:tcBorders>
            <w:hideMark/>
          </w:tcPr>
          <w:p w14:paraId="3663EDAA" w14:textId="77777777" w:rsidR="00677D17" w:rsidRPr="0019776A" w:rsidRDefault="00677D17" w:rsidP="00753047">
            <w:pPr>
              <w:pStyle w:val="Title"/>
              <w:tabs>
                <w:tab w:val="left" w:pos="360"/>
              </w:tabs>
              <w:ind w:right="0"/>
              <w:jc w:val="left"/>
              <w:rPr>
                <w:b w:val="0"/>
                <w:sz w:val="24"/>
                <w:szCs w:val="24"/>
                <w:lang w:val="en-CA" w:eastAsia="en-US"/>
              </w:rPr>
            </w:pPr>
            <w:r w:rsidRPr="0019776A">
              <w:rPr>
                <w:b w:val="0"/>
                <w:sz w:val="24"/>
                <w:szCs w:val="24"/>
                <w:lang w:val="en-CA"/>
              </w:rPr>
              <w:t>Professors:</w:t>
            </w:r>
          </w:p>
          <w:p w14:paraId="32A16D1F" w14:textId="03539D14" w:rsidR="00677D17" w:rsidRPr="0019776A" w:rsidRDefault="009571A7" w:rsidP="00753047">
            <w:pPr>
              <w:pStyle w:val="Title"/>
              <w:tabs>
                <w:tab w:val="left" w:pos="360"/>
              </w:tabs>
              <w:ind w:right="0"/>
              <w:jc w:val="left"/>
              <w:rPr>
                <w:b w:val="0"/>
                <w:sz w:val="24"/>
                <w:szCs w:val="24"/>
                <w:lang w:val="en-CA" w:eastAsia="en-US"/>
              </w:rPr>
            </w:pPr>
            <w:r w:rsidRPr="0019776A">
              <w:rPr>
                <w:b w:val="0"/>
                <w:sz w:val="24"/>
                <w:szCs w:val="24"/>
                <w:lang w:val="en-CA"/>
              </w:rPr>
              <w:t>SANDRA</w:t>
            </w:r>
            <w:r w:rsidR="00677D17" w:rsidRPr="0019776A">
              <w:rPr>
                <w:b w:val="0"/>
                <w:sz w:val="24"/>
                <w:szCs w:val="24"/>
                <w:lang w:val="en-CA"/>
              </w:rPr>
              <w:t xml:space="preserve"> </w:t>
            </w:r>
            <w:r w:rsidRPr="0019776A">
              <w:rPr>
                <w:b w:val="0"/>
                <w:sz w:val="24"/>
                <w:szCs w:val="24"/>
                <w:lang w:val="en-CA"/>
              </w:rPr>
              <w:t>KOVACS</w:t>
            </w:r>
            <w:r w:rsidR="00A87486">
              <w:rPr>
                <w:b w:val="0"/>
                <w:sz w:val="24"/>
                <w:szCs w:val="24"/>
                <w:lang w:val="en-CA"/>
              </w:rPr>
              <w:br/>
              <w:t>TANYA MARTIN</w:t>
            </w:r>
          </w:p>
        </w:tc>
        <w:tc>
          <w:tcPr>
            <w:tcW w:w="4081" w:type="dxa"/>
            <w:tcBorders>
              <w:top w:val="nil"/>
              <w:left w:val="nil"/>
              <w:bottom w:val="nil"/>
              <w:right w:val="nil"/>
            </w:tcBorders>
            <w:hideMark/>
          </w:tcPr>
          <w:p w14:paraId="75E41A58" w14:textId="77777777" w:rsidR="00677D17" w:rsidRDefault="00677D17" w:rsidP="00753047">
            <w:pPr>
              <w:pStyle w:val="Title"/>
              <w:tabs>
                <w:tab w:val="left" w:pos="360"/>
              </w:tabs>
              <w:ind w:right="0"/>
              <w:jc w:val="left"/>
              <w:rPr>
                <w:b w:val="0"/>
                <w:sz w:val="24"/>
                <w:szCs w:val="24"/>
                <w:lang w:val="en-CA"/>
              </w:rPr>
            </w:pPr>
            <w:r w:rsidRPr="0019776A">
              <w:rPr>
                <w:b w:val="0"/>
                <w:sz w:val="24"/>
                <w:szCs w:val="24"/>
                <w:lang w:val="en-CA"/>
              </w:rPr>
              <w:t>Tel: (604) 681-9344</w:t>
            </w:r>
          </w:p>
          <w:p w14:paraId="4872F8FD" w14:textId="77777777" w:rsidR="0042527F" w:rsidRPr="0019776A" w:rsidRDefault="0042527F" w:rsidP="0042527F">
            <w:pPr>
              <w:tabs>
                <w:tab w:val="left" w:pos="360"/>
              </w:tabs>
              <w:rPr>
                <w:rFonts w:ascii="Arial" w:hAnsi="Arial" w:cs="Arial"/>
                <w:sz w:val="24"/>
                <w:lang w:val="en-CA"/>
              </w:rPr>
            </w:pPr>
            <w:r w:rsidRPr="0019776A">
              <w:rPr>
                <w:rFonts w:ascii="Arial" w:hAnsi="Arial" w:cs="Arial"/>
                <w:sz w:val="24"/>
                <w:lang w:val="en-CA"/>
              </w:rPr>
              <w:t xml:space="preserve">Email: </w:t>
            </w:r>
            <w:hyperlink r:id="rId8" w:history="1">
              <w:r w:rsidRPr="0019776A">
                <w:rPr>
                  <w:rFonts w:ascii="Arial" w:hAnsi="Arial" w:cs="Arial"/>
                  <w:color w:val="0000FF"/>
                  <w:sz w:val="24"/>
                  <w:u w:val="single"/>
                  <w:lang w:val="en-CA"/>
                </w:rPr>
                <w:t>sk@kazlaw.ca</w:t>
              </w:r>
            </w:hyperlink>
          </w:p>
          <w:p w14:paraId="4AD3AB3D" w14:textId="20AF5330" w:rsidR="006825D4" w:rsidRPr="0019776A" w:rsidRDefault="009571A7" w:rsidP="006825D4">
            <w:pPr>
              <w:pStyle w:val="Title"/>
              <w:tabs>
                <w:tab w:val="left" w:pos="360"/>
              </w:tabs>
              <w:ind w:right="0"/>
              <w:jc w:val="left"/>
              <w:rPr>
                <w:b w:val="0"/>
                <w:sz w:val="24"/>
                <w:szCs w:val="24"/>
                <w:lang w:val="en-CA"/>
              </w:rPr>
            </w:pPr>
            <w:r w:rsidRPr="0019776A">
              <w:rPr>
                <w:b w:val="0"/>
                <w:sz w:val="24"/>
                <w:szCs w:val="24"/>
                <w:lang w:val="en-CA"/>
              </w:rPr>
              <w:t>Email</w:t>
            </w:r>
            <w:r w:rsidR="00A87486">
              <w:rPr>
                <w:b w:val="0"/>
                <w:sz w:val="24"/>
                <w:szCs w:val="24"/>
                <w:lang w:val="en-CA"/>
              </w:rPr>
              <w:t xml:space="preserve">: </w:t>
            </w:r>
            <w:hyperlink r:id="rId9" w:history="1">
              <w:r w:rsidR="0042527F" w:rsidRPr="00CE5523">
                <w:rPr>
                  <w:rStyle w:val="Hyperlink"/>
                  <w:b w:val="0"/>
                  <w:sz w:val="24"/>
                  <w:szCs w:val="24"/>
                  <w:lang w:val="en-CA"/>
                </w:rPr>
                <w:t>tm</w:t>
              </w:r>
              <w:r w:rsidR="0042527F" w:rsidRPr="0042527F">
                <w:rPr>
                  <w:rStyle w:val="Hyperlink"/>
                  <w:b w:val="0"/>
                  <w:sz w:val="24"/>
                  <w:szCs w:val="24"/>
                  <w:lang w:val="en-CA"/>
                </w:rPr>
                <w:t>a</w:t>
              </w:r>
              <w:r w:rsidR="0042527F" w:rsidRPr="0042527F">
                <w:rPr>
                  <w:rStyle w:val="Hyperlink"/>
                  <w:b w:val="0"/>
                  <w:sz w:val="24"/>
                  <w:szCs w:val="24"/>
                </w:rPr>
                <w:t>rtin</w:t>
              </w:r>
              <w:r w:rsidR="0042527F" w:rsidRPr="0042527F">
                <w:rPr>
                  <w:rStyle w:val="Hyperlink"/>
                  <w:b w:val="0"/>
                  <w:sz w:val="24"/>
                  <w:szCs w:val="24"/>
                  <w:lang w:val="en-CA"/>
                </w:rPr>
                <w:t>@k</w:t>
              </w:r>
              <w:r w:rsidR="0042527F" w:rsidRPr="00CE5523">
                <w:rPr>
                  <w:rStyle w:val="Hyperlink"/>
                  <w:b w:val="0"/>
                  <w:sz w:val="24"/>
                  <w:szCs w:val="24"/>
                  <w:lang w:val="en-CA"/>
                </w:rPr>
                <w:t>azlaw.ca</w:t>
              </w:r>
            </w:hyperlink>
            <w:r w:rsidR="00A87486">
              <w:rPr>
                <w:b w:val="0"/>
                <w:sz w:val="24"/>
                <w:szCs w:val="24"/>
                <w:lang w:val="en-CA"/>
              </w:rPr>
              <w:t xml:space="preserve"> </w:t>
            </w:r>
            <w:r w:rsidR="006825D4" w:rsidRPr="0019776A">
              <w:rPr>
                <w:b w:val="0"/>
                <w:sz w:val="24"/>
                <w:szCs w:val="24"/>
                <w:lang w:val="en-CA"/>
              </w:rPr>
              <w:t xml:space="preserve"> </w:t>
            </w:r>
          </w:p>
          <w:p w14:paraId="4ED56A31" w14:textId="68619C81" w:rsidR="00677D17" w:rsidRPr="0019776A" w:rsidRDefault="00047A0D" w:rsidP="006825D4">
            <w:pPr>
              <w:pStyle w:val="Title"/>
              <w:tabs>
                <w:tab w:val="left" w:pos="360"/>
              </w:tabs>
              <w:ind w:right="0"/>
              <w:jc w:val="left"/>
              <w:rPr>
                <w:b w:val="0"/>
                <w:sz w:val="24"/>
                <w:szCs w:val="24"/>
                <w:lang w:val="en-CA" w:eastAsia="en-US"/>
              </w:rPr>
            </w:pPr>
            <w:r w:rsidRPr="0019776A">
              <w:rPr>
                <w:b w:val="0"/>
                <w:sz w:val="24"/>
                <w:szCs w:val="24"/>
                <w:lang w:val="en-CA"/>
              </w:rPr>
              <w:t xml:space="preserve">Office: </w:t>
            </w:r>
            <w:r w:rsidR="009571A7" w:rsidRPr="0019776A">
              <w:rPr>
                <w:b w:val="0"/>
                <w:sz w:val="24"/>
                <w:szCs w:val="24"/>
                <w:lang w:val="en-CA"/>
              </w:rPr>
              <w:t>19</w:t>
            </w:r>
            <w:r w:rsidR="00677D17" w:rsidRPr="0019776A">
              <w:rPr>
                <w:b w:val="0"/>
                <w:sz w:val="24"/>
                <w:szCs w:val="24"/>
                <w:lang w:val="en-CA"/>
              </w:rPr>
              <w:t xml:space="preserve">00-570 Granville Street, Vancouver BC </w:t>
            </w:r>
          </w:p>
        </w:tc>
        <w:tc>
          <w:tcPr>
            <w:tcW w:w="2952" w:type="dxa"/>
            <w:tcBorders>
              <w:top w:val="nil"/>
              <w:left w:val="nil"/>
              <w:bottom w:val="nil"/>
              <w:right w:val="nil"/>
            </w:tcBorders>
          </w:tcPr>
          <w:p w14:paraId="6C57AEFE" w14:textId="77777777" w:rsidR="00677D17" w:rsidRPr="0019776A" w:rsidRDefault="00677D17" w:rsidP="00753047">
            <w:pPr>
              <w:pStyle w:val="Title"/>
              <w:tabs>
                <w:tab w:val="left" w:pos="360"/>
              </w:tabs>
              <w:ind w:right="0"/>
              <w:jc w:val="left"/>
              <w:rPr>
                <w:b w:val="0"/>
                <w:sz w:val="24"/>
                <w:szCs w:val="24"/>
                <w:lang w:val="en-CA" w:eastAsia="en-US"/>
              </w:rPr>
            </w:pPr>
            <w:r w:rsidRPr="0019776A">
              <w:rPr>
                <w:b w:val="0"/>
                <w:sz w:val="24"/>
                <w:szCs w:val="24"/>
                <w:lang w:val="en-CA"/>
              </w:rPr>
              <w:t>Mondays 5:00 – 8:00 pm</w:t>
            </w:r>
          </w:p>
          <w:p w14:paraId="7AE13444" w14:textId="1419165A" w:rsidR="00677D17" w:rsidRPr="0019776A" w:rsidRDefault="00677D17" w:rsidP="00753047">
            <w:pPr>
              <w:pStyle w:val="Title"/>
              <w:tabs>
                <w:tab w:val="left" w:pos="360"/>
              </w:tabs>
              <w:ind w:right="0"/>
              <w:jc w:val="left"/>
              <w:rPr>
                <w:b w:val="0"/>
                <w:sz w:val="24"/>
                <w:szCs w:val="24"/>
                <w:lang w:val="en-CA"/>
              </w:rPr>
            </w:pPr>
            <w:r w:rsidRPr="0019776A">
              <w:rPr>
                <w:b w:val="0"/>
                <w:sz w:val="24"/>
                <w:szCs w:val="24"/>
                <w:lang w:val="en-CA"/>
              </w:rPr>
              <w:t xml:space="preserve">UBC </w:t>
            </w:r>
            <w:r w:rsidR="00637E31" w:rsidRPr="0019776A">
              <w:rPr>
                <w:b w:val="0"/>
                <w:sz w:val="24"/>
                <w:szCs w:val="24"/>
                <w:lang w:val="en-CA"/>
              </w:rPr>
              <w:t>Allard Hall</w:t>
            </w:r>
            <w:r w:rsidR="00637E31" w:rsidRPr="0019776A">
              <w:rPr>
                <w:b w:val="0"/>
                <w:sz w:val="24"/>
                <w:szCs w:val="24"/>
                <w:lang w:val="en-CA"/>
              </w:rPr>
              <w:br/>
            </w:r>
            <w:r w:rsidRPr="0019776A">
              <w:rPr>
                <w:b w:val="0"/>
                <w:sz w:val="24"/>
                <w:szCs w:val="24"/>
                <w:lang w:val="en-CA"/>
              </w:rPr>
              <w:t>Faculty of Law</w:t>
            </w:r>
            <w:r w:rsidR="00B11FCC">
              <w:rPr>
                <w:b w:val="0"/>
                <w:sz w:val="24"/>
                <w:szCs w:val="24"/>
                <w:lang w:val="en-CA"/>
              </w:rPr>
              <w:br/>
              <w:t>Rm. 121</w:t>
            </w:r>
          </w:p>
          <w:p w14:paraId="2C9F076B" w14:textId="77777777" w:rsidR="00677D17" w:rsidRPr="0019776A" w:rsidRDefault="00677D17" w:rsidP="00753047">
            <w:pPr>
              <w:pStyle w:val="Title"/>
              <w:tabs>
                <w:tab w:val="left" w:pos="360"/>
              </w:tabs>
              <w:ind w:right="0"/>
              <w:jc w:val="left"/>
              <w:rPr>
                <w:b w:val="0"/>
                <w:sz w:val="24"/>
                <w:szCs w:val="24"/>
                <w:lang w:val="en-CA"/>
              </w:rPr>
            </w:pPr>
          </w:p>
        </w:tc>
      </w:tr>
      <w:tr w:rsidR="00753047" w:rsidRPr="0019776A" w14:paraId="18F34FC8" w14:textId="77777777" w:rsidTr="00A42E3B">
        <w:tc>
          <w:tcPr>
            <w:tcW w:w="3227" w:type="dxa"/>
            <w:tcBorders>
              <w:top w:val="nil"/>
              <w:left w:val="nil"/>
              <w:bottom w:val="single" w:sz="4" w:space="0" w:color="auto"/>
              <w:right w:val="nil"/>
            </w:tcBorders>
          </w:tcPr>
          <w:p w14:paraId="68C3AA94" w14:textId="77777777" w:rsidR="00677D17" w:rsidRPr="0019776A" w:rsidRDefault="00677D17" w:rsidP="00753047">
            <w:pPr>
              <w:pStyle w:val="Title"/>
              <w:tabs>
                <w:tab w:val="left" w:pos="360"/>
              </w:tabs>
              <w:ind w:right="0"/>
              <w:jc w:val="both"/>
              <w:rPr>
                <w:b w:val="0"/>
                <w:sz w:val="24"/>
                <w:szCs w:val="24"/>
                <w:lang w:val="en-CA" w:eastAsia="en-US"/>
              </w:rPr>
            </w:pPr>
          </w:p>
        </w:tc>
        <w:tc>
          <w:tcPr>
            <w:tcW w:w="4081" w:type="dxa"/>
            <w:tcBorders>
              <w:top w:val="nil"/>
              <w:left w:val="nil"/>
              <w:bottom w:val="single" w:sz="4" w:space="0" w:color="auto"/>
              <w:right w:val="nil"/>
            </w:tcBorders>
          </w:tcPr>
          <w:p w14:paraId="3573E9AD" w14:textId="77777777" w:rsidR="00677D17" w:rsidRPr="0019776A" w:rsidRDefault="00677D17" w:rsidP="00753047">
            <w:pPr>
              <w:pStyle w:val="Title"/>
              <w:tabs>
                <w:tab w:val="left" w:pos="360"/>
              </w:tabs>
              <w:ind w:right="0"/>
              <w:jc w:val="both"/>
              <w:rPr>
                <w:b w:val="0"/>
                <w:sz w:val="24"/>
                <w:szCs w:val="24"/>
                <w:lang w:val="en-CA" w:eastAsia="en-US"/>
              </w:rPr>
            </w:pPr>
          </w:p>
        </w:tc>
        <w:tc>
          <w:tcPr>
            <w:tcW w:w="2952" w:type="dxa"/>
            <w:tcBorders>
              <w:top w:val="nil"/>
              <w:left w:val="nil"/>
              <w:bottom w:val="single" w:sz="4" w:space="0" w:color="auto"/>
              <w:right w:val="nil"/>
            </w:tcBorders>
          </w:tcPr>
          <w:p w14:paraId="3AD859A1" w14:textId="77777777" w:rsidR="00677D17" w:rsidRPr="0019776A" w:rsidRDefault="00677D17" w:rsidP="00753047">
            <w:pPr>
              <w:pStyle w:val="Title"/>
              <w:tabs>
                <w:tab w:val="left" w:pos="360"/>
              </w:tabs>
              <w:ind w:right="0"/>
              <w:jc w:val="both"/>
              <w:rPr>
                <w:b w:val="0"/>
                <w:sz w:val="24"/>
                <w:szCs w:val="24"/>
                <w:lang w:val="en-CA" w:eastAsia="en-US"/>
              </w:rPr>
            </w:pPr>
          </w:p>
        </w:tc>
      </w:tr>
    </w:tbl>
    <w:p w14:paraId="49485A69" w14:textId="77777777" w:rsidR="00F47115" w:rsidRPr="0019776A" w:rsidRDefault="00F47115" w:rsidP="00753047">
      <w:pPr>
        <w:tabs>
          <w:tab w:val="center" w:pos="4513"/>
        </w:tabs>
        <w:suppressAutoHyphens/>
        <w:spacing w:line="240" w:lineRule="atLeast"/>
        <w:rPr>
          <w:rFonts w:ascii="Arial" w:hAnsi="Arial" w:cs="Arial"/>
          <w:b/>
          <w:bCs/>
          <w:spacing w:val="-3"/>
          <w:sz w:val="24"/>
          <w:szCs w:val="24"/>
          <w:lang w:val="en-CA"/>
        </w:rPr>
      </w:pPr>
    </w:p>
    <w:p w14:paraId="6D5052EC" w14:textId="18D92824" w:rsidR="00153FE7" w:rsidRPr="0019776A" w:rsidRDefault="00153FE7" w:rsidP="00153FE7">
      <w:pPr>
        <w:tabs>
          <w:tab w:val="center" w:pos="4513"/>
        </w:tabs>
        <w:suppressAutoHyphens/>
        <w:spacing w:line="240" w:lineRule="atLeast"/>
        <w:jc w:val="center"/>
        <w:rPr>
          <w:rFonts w:ascii="Arial" w:hAnsi="Arial" w:cs="Arial"/>
          <w:b/>
          <w:spacing w:val="-3"/>
          <w:sz w:val="24"/>
          <w:szCs w:val="24"/>
          <w:lang w:val="en-CA"/>
        </w:rPr>
      </w:pPr>
      <w:r w:rsidRPr="0019776A">
        <w:rPr>
          <w:rFonts w:ascii="Arial" w:hAnsi="Arial" w:cs="Arial"/>
          <w:b/>
          <w:bCs/>
          <w:spacing w:val="-3"/>
          <w:sz w:val="24"/>
          <w:szCs w:val="24"/>
          <w:lang w:val="en-CA"/>
        </w:rPr>
        <w:t>WEEK 2</w:t>
      </w:r>
      <w:r>
        <w:rPr>
          <w:rFonts w:ascii="Arial" w:hAnsi="Arial" w:cs="Arial"/>
          <w:b/>
          <w:bCs/>
          <w:spacing w:val="-3"/>
          <w:sz w:val="24"/>
          <w:szCs w:val="24"/>
          <w:lang w:val="en-CA"/>
        </w:rPr>
        <w:t xml:space="preserve"> - January </w:t>
      </w:r>
      <w:r w:rsidR="00A87486">
        <w:rPr>
          <w:rFonts w:ascii="Arial" w:hAnsi="Arial" w:cs="Arial"/>
          <w:b/>
          <w:bCs/>
          <w:spacing w:val="-3"/>
          <w:sz w:val="24"/>
          <w:szCs w:val="24"/>
          <w:lang w:val="en-CA"/>
        </w:rPr>
        <w:t>13</w:t>
      </w:r>
      <w:r>
        <w:rPr>
          <w:rFonts w:ascii="Arial" w:hAnsi="Arial" w:cs="Arial"/>
          <w:b/>
          <w:bCs/>
          <w:spacing w:val="-3"/>
          <w:sz w:val="24"/>
          <w:szCs w:val="24"/>
          <w:lang w:val="en-CA"/>
        </w:rPr>
        <w:t>, 202</w:t>
      </w:r>
      <w:r w:rsidR="00A87486">
        <w:rPr>
          <w:rFonts w:ascii="Arial" w:hAnsi="Arial" w:cs="Arial"/>
          <w:b/>
          <w:bCs/>
          <w:spacing w:val="-3"/>
          <w:sz w:val="24"/>
          <w:szCs w:val="24"/>
          <w:lang w:val="en-CA"/>
        </w:rPr>
        <w:t>5</w:t>
      </w:r>
      <w:r w:rsidRPr="0019776A">
        <w:rPr>
          <w:rFonts w:ascii="Arial" w:hAnsi="Arial" w:cs="Arial"/>
          <w:b/>
          <w:bCs/>
          <w:spacing w:val="-3"/>
          <w:sz w:val="24"/>
          <w:szCs w:val="24"/>
          <w:lang w:val="en-CA"/>
        </w:rPr>
        <w:t>: Tort Liability</w:t>
      </w:r>
      <w:r>
        <w:rPr>
          <w:rFonts w:ascii="Arial" w:hAnsi="Arial" w:cs="Arial"/>
          <w:b/>
          <w:bCs/>
          <w:spacing w:val="-3"/>
          <w:sz w:val="24"/>
          <w:szCs w:val="24"/>
          <w:lang w:val="en-CA"/>
        </w:rPr>
        <w:t xml:space="preserve"> </w:t>
      </w:r>
      <w:r w:rsidRPr="0019776A">
        <w:rPr>
          <w:rFonts w:ascii="Arial" w:hAnsi="Arial" w:cs="Arial"/>
          <w:b/>
          <w:bCs/>
          <w:sz w:val="24"/>
          <w:szCs w:val="24"/>
          <w:u w:val="single"/>
          <w:lang w:val="en-CA"/>
        </w:rPr>
        <w:br/>
      </w:r>
    </w:p>
    <w:p w14:paraId="455CBB51" w14:textId="77777777" w:rsidR="00B11FCC" w:rsidRDefault="00B11FCC" w:rsidP="00753047">
      <w:pPr>
        <w:tabs>
          <w:tab w:val="center" w:pos="4513"/>
        </w:tabs>
        <w:suppressAutoHyphens/>
        <w:spacing w:line="240" w:lineRule="atLeast"/>
        <w:rPr>
          <w:rFonts w:ascii="Arial" w:hAnsi="Arial" w:cs="Arial"/>
          <w:b/>
          <w:bCs/>
          <w:spacing w:val="-3"/>
          <w:sz w:val="24"/>
          <w:szCs w:val="24"/>
          <w:lang w:val="en-CA"/>
        </w:rPr>
      </w:pPr>
    </w:p>
    <w:p w14:paraId="4EED4975" w14:textId="77777777" w:rsidR="007E6DD8" w:rsidRPr="0019776A" w:rsidRDefault="0024607B" w:rsidP="00871CDD">
      <w:pPr>
        <w:pStyle w:val="Default"/>
        <w:jc w:val="both"/>
        <w:rPr>
          <w:rFonts w:ascii="Arial" w:hAnsi="Arial" w:cs="Arial"/>
          <w:b/>
          <w:color w:val="auto"/>
          <w:lang w:val="en-CA"/>
        </w:rPr>
      </w:pPr>
      <w:r w:rsidRPr="0019776A">
        <w:rPr>
          <w:rFonts w:ascii="Arial" w:hAnsi="Arial" w:cs="Arial"/>
          <w:b/>
          <w:color w:val="auto"/>
          <w:lang w:val="en-CA"/>
        </w:rPr>
        <w:t xml:space="preserve">1.1 </w:t>
      </w:r>
      <w:r w:rsidR="00871CDD" w:rsidRPr="0019776A">
        <w:rPr>
          <w:rFonts w:ascii="Arial" w:hAnsi="Arial" w:cs="Arial"/>
          <w:b/>
          <w:color w:val="auto"/>
          <w:lang w:val="en-CA"/>
        </w:rPr>
        <w:t xml:space="preserve">Teaching </w:t>
      </w:r>
      <w:r w:rsidR="006825D4" w:rsidRPr="0019776A">
        <w:rPr>
          <w:rFonts w:ascii="Arial" w:hAnsi="Arial" w:cs="Arial"/>
          <w:b/>
          <w:color w:val="auto"/>
          <w:lang w:val="en-CA"/>
        </w:rPr>
        <w:t>Objectives (</w:t>
      </w:r>
      <w:r w:rsidR="009311AE" w:rsidRPr="0019776A">
        <w:rPr>
          <w:rFonts w:ascii="Arial" w:hAnsi="Arial" w:cs="Arial"/>
          <w:b/>
          <w:color w:val="auto"/>
          <w:lang w:val="en-CA"/>
        </w:rPr>
        <w:t>Assigned Readings: all bolded cases)</w:t>
      </w:r>
    </w:p>
    <w:p w14:paraId="0027EAA5" w14:textId="77777777" w:rsidR="007E6DD8" w:rsidRPr="0019776A" w:rsidRDefault="007E6DD8" w:rsidP="00753047">
      <w:pPr>
        <w:pStyle w:val="Default"/>
        <w:jc w:val="both"/>
        <w:rPr>
          <w:rFonts w:ascii="Arial" w:hAnsi="Arial" w:cs="Arial"/>
          <w:b/>
          <w:color w:val="auto"/>
          <w:lang w:val="en-CA"/>
        </w:rPr>
      </w:pPr>
    </w:p>
    <w:p w14:paraId="166166F4" w14:textId="77777777" w:rsidR="005E6555" w:rsidRPr="0019776A" w:rsidRDefault="00871CDD" w:rsidP="00DE5BDE">
      <w:pPr>
        <w:pStyle w:val="Default"/>
        <w:numPr>
          <w:ilvl w:val="0"/>
          <w:numId w:val="1"/>
        </w:numPr>
        <w:spacing w:after="200"/>
        <w:jc w:val="both"/>
        <w:rPr>
          <w:rFonts w:ascii="Arial" w:hAnsi="Arial" w:cs="Arial"/>
          <w:color w:val="auto"/>
          <w:lang w:val="en-CA"/>
        </w:rPr>
      </w:pPr>
      <w:r w:rsidRPr="0019776A">
        <w:rPr>
          <w:rFonts w:ascii="Arial" w:hAnsi="Arial" w:cs="Arial"/>
          <w:color w:val="auto"/>
          <w:lang w:val="en-CA"/>
        </w:rPr>
        <w:t>The elements of proving liability in negligence:</w:t>
      </w:r>
    </w:p>
    <w:p w14:paraId="31B75C29" w14:textId="1F56DF81" w:rsidR="00871CDD" w:rsidRPr="0019776A" w:rsidRDefault="00871CDD" w:rsidP="00DE5BDE">
      <w:pPr>
        <w:pStyle w:val="Default"/>
        <w:numPr>
          <w:ilvl w:val="1"/>
          <w:numId w:val="1"/>
        </w:numPr>
        <w:spacing w:after="200"/>
        <w:jc w:val="both"/>
        <w:rPr>
          <w:rFonts w:ascii="Arial" w:hAnsi="Arial" w:cs="Arial"/>
          <w:color w:val="auto"/>
          <w:lang w:val="en-CA"/>
        </w:rPr>
      </w:pPr>
      <w:r w:rsidRPr="0019776A">
        <w:rPr>
          <w:rFonts w:ascii="Arial" w:hAnsi="Arial" w:cs="Arial"/>
          <w:color w:val="auto"/>
          <w:lang w:val="en-CA"/>
        </w:rPr>
        <w:t>Duty of care</w:t>
      </w:r>
      <w:r w:rsidR="009311AE" w:rsidRPr="0019776A">
        <w:rPr>
          <w:rFonts w:ascii="Arial" w:hAnsi="Arial" w:cs="Arial"/>
          <w:color w:val="auto"/>
          <w:lang w:val="en-CA"/>
        </w:rPr>
        <w:t xml:space="preserve"> </w:t>
      </w:r>
      <w:r w:rsidR="00B81B7E" w:rsidRPr="00A57167">
        <w:rPr>
          <w:rFonts w:ascii="Arial" w:hAnsi="Arial" w:cs="Arial"/>
          <w:color w:val="auto"/>
          <w:lang w:val="en-CA"/>
        </w:rPr>
        <w:t xml:space="preserve">– </w:t>
      </w:r>
      <w:r w:rsidR="00B81B7E">
        <w:rPr>
          <w:rFonts w:ascii="Arial" w:hAnsi="Arial" w:cs="Arial"/>
          <w:color w:val="auto"/>
          <w:lang w:val="en-CA"/>
        </w:rPr>
        <w:t xml:space="preserve"> </w:t>
      </w:r>
      <w:r w:rsidR="009311AE" w:rsidRPr="0019776A">
        <w:rPr>
          <w:rFonts w:ascii="Arial" w:hAnsi="Arial" w:cs="Arial"/>
          <w:b/>
          <w:i/>
          <w:color w:val="auto"/>
          <w:lang w:val="en-CA"/>
        </w:rPr>
        <w:t xml:space="preserve">Rankin (Rankin’s Garage) v. J.J., </w:t>
      </w:r>
      <w:hyperlink r:id="rId10" w:history="1">
        <w:r w:rsidR="009311AE" w:rsidRPr="005D74EB">
          <w:rPr>
            <w:rStyle w:val="Hyperlink"/>
            <w:rFonts w:ascii="Arial" w:hAnsi="Arial" w:cs="Arial"/>
            <w:b/>
            <w:u w:val="none"/>
            <w:lang w:val="en-CA"/>
          </w:rPr>
          <w:t>2018 SCC 19</w:t>
        </w:r>
      </w:hyperlink>
      <w:r w:rsidR="00652F6F">
        <w:rPr>
          <w:rStyle w:val="Hyperlink"/>
          <w:rFonts w:ascii="Arial" w:hAnsi="Arial" w:cs="Arial"/>
          <w:color w:val="auto"/>
          <w:u w:val="none"/>
          <w:lang w:val="en-CA"/>
        </w:rPr>
        <w:t xml:space="preserve">; </w:t>
      </w:r>
      <w:r w:rsidR="00060B3D" w:rsidRPr="00E31E1F">
        <w:rPr>
          <w:rFonts w:ascii="Arial" w:hAnsi="Arial" w:cs="Arial"/>
          <w:i/>
          <w:lang w:val="en-CA"/>
        </w:rPr>
        <w:t>N</w:t>
      </w:r>
      <w:r w:rsidR="00060B3D">
        <w:rPr>
          <w:rFonts w:ascii="Arial" w:hAnsi="Arial" w:cs="Arial"/>
          <w:i/>
          <w:lang w:val="en-CA"/>
        </w:rPr>
        <w:t xml:space="preserve">elson v. Marchi, </w:t>
      </w:r>
      <w:hyperlink r:id="rId11" w:history="1">
        <w:r w:rsidR="00060B3D" w:rsidRPr="00060B3D">
          <w:rPr>
            <w:rStyle w:val="Hyperlink"/>
            <w:rFonts w:ascii="Arial" w:hAnsi="Arial" w:cs="Arial"/>
            <w:u w:val="none"/>
            <w:lang w:val="en-CA"/>
          </w:rPr>
          <w:t>2021 SCC 41</w:t>
        </w:r>
      </w:hyperlink>
    </w:p>
    <w:p w14:paraId="6257579B" w14:textId="4170F747" w:rsidR="00871CDD" w:rsidRPr="0019776A" w:rsidRDefault="00871CDD" w:rsidP="00DE5BDE">
      <w:pPr>
        <w:pStyle w:val="Default"/>
        <w:numPr>
          <w:ilvl w:val="1"/>
          <w:numId w:val="1"/>
        </w:numPr>
        <w:spacing w:after="200"/>
        <w:jc w:val="both"/>
        <w:rPr>
          <w:rFonts w:ascii="Arial" w:hAnsi="Arial" w:cs="Arial"/>
          <w:color w:val="auto"/>
          <w:lang w:val="en-CA"/>
        </w:rPr>
      </w:pPr>
      <w:r w:rsidRPr="0019776A">
        <w:rPr>
          <w:rFonts w:ascii="Arial" w:hAnsi="Arial" w:cs="Arial"/>
          <w:color w:val="auto"/>
          <w:lang w:val="en-CA"/>
        </w:rPr>
        <w:t>Breach of that duty</w:t>
      </w:r>
      <w:r w:rsidR="00742970">
        <w:rPr>
          <w:rFonts w:ascii="Arial" w:hAnsi="Arial" w:cs="Arial"/>
          <w:color w:val="auto"/>
          <w:lang w:val="en-CA"/>
        </w:rPr>
        <w:t xml:space="preserve"> (an actionable wrong)</w:t>
      </w:r>
      <w:r w:rsidR="00652F6F">
        <w:rPr>
          <w:rFonts w:ascii="Arial" w:hAnsi="Arial" w:cs="Arial"/>
          <w:color w:val="auto"/>
          <w:lang w:val="en-CA"/>
        </w:rPr>
        <w:t xml:space="preserve"> - </w:t>
      </w:r>
      <w:r w:rsidR="00652F6F" w:rsidRPr="00652F6F">
        <w:rPr>
          <w:rFonts w:ascii="Arial" w:hAnsi="Arial" w:cs="Arial"/>
          <w:i/>
          <w:lang w:val="en-CA"/>
        </w:rPr>
        <w:t>Hill v. Hamilton-Wentworth Regional Police Services Board</w:t>
      </w:r>
      <w:r w:rsidR="00652F6F" w:rsidRPr="00652F6F">
        <w:rPr>
          <w:rFonts w:ascii="Arial" w:hAnsi="Arial" w:cs="Arial"/>
          <w:lang w:val="en-CA"/>
        </w:rPr>
        <w:t xml:space="preserve">, </w:t>
      </w:r>
      <w:hyperlink r:id="rId12" w:history="1">
        <w:r w:rsidR="00652F6F" w:rsidRPr="00652F6F">
          <w:rPr>
            <w:rStyle w:val="Hyperlink"/>
            <w:rFonts w:ascii="Arial" w:hAnsi="Arial" w:cs="Arial"/>
            <w:u w:val="none"/>
            <w:lang w:val="en-CA"/>
          </w:rPr>
          <w:t>2007 SCC 41</w:t>
        </w:r>
      </w:hyperlink>
      <w:r w:rsidR="004C1C2B">
        <w:rPr>
          <w:rFonts w:ascii="Arial" w:hAnsi="Arial" w:cs="Arial"/>
          <w:color w:val="auto"/>
          <w:lang w:val="en-CA"/>
        </w:rPr>
        <w:t xml:space="preserve"> </w:t>
      </w:r>
    </w:p>
    <w:p w14:paraId="4BC8C8FF" w14:textId="208CC007" w:rsidR="00871CDD" w:rsidRPr="005D227F" w:rsidRDefault="00871CDD" w:rsidP="005D227F">
      <w:pPr>
        <w:pStyle w:val="Default"/>
        <w:numPr>
          <w:ilvl w:val="1"/>
          <w:numId w:val="1"/>
        </w:numPr>
        <w:spacing w:after="200"/>
        <w:jc w:val="both"/>
        <w:rPr>
          <w:rFonts w:ascii="Arial" w:hAnsi="Arial" w:cs="Arial"/>
          <w:color w:val="auto"/>
          <w:lang w:val="en-CA"/>
        </w:rPr>
      </w:pPr>
      <w:r w:rsidRPr="0019776A">
        <w:rPr>
          <w:rFonts w:ascii="Arial" w:hAnsi="Arial" w:cs="Arial"/>
          <w:color w:val="auto"/>
          <w:lang w:val="en-CA"/>
        </w:rPr>
        <w:t>Causation</w:t>
      </w:r>
      <w:r w:rsidR="00652F6F">
        <w:rPr>
          <w:rFonts w:ascii="Arial" w:hAnsi="Arial" w:cs="Arial"/>
          <w:color w:val="auto"/>
          <w:lang w:val="en-CA"/>
        </w:rPr>
        <w:t xml:space="preserve"> </w:t>
      </w:r>
      <w:r w:rsidR="005D227F">
        <w:rPr>
          <w:rFonts w:ascii="Arial" w:hAnsi="Arial" w:cs="Arial"/>
          <w:color w:val="auto"/>
          <w:lang w:val="en-CA"/>
        </w:rPr>
        <w:t>–</w:t>
      </w:r>
      <w:r w:rsidR="00652F6F">
        <w:rPr>
          <w:rFonts w:ascii="Arial" w:hAnsi="Arial" w:cs="Arial"/>
          <w:color w:val="auto"/>
          <w:lang w:val="en-CA"/>
        </w:rPr>
        <w:t xml:space="preserve"> </w:t>
      </w:r>
      <w:r w:rsidR="005D227F" w:rsidRPr="005D227F">
        <w:rPr>
          <w:rFonts w:ascii="Arial" w:hAnsi="Arial" w:cs="Arial"/>
          <w:i/>
          <w:lang w:val="en-CA"/>
        </w:rPr>
        <w:t>Clements v. Clements</w:t>
      </w:r>
      <w:r w:rsidR="005D227F" w:rsidRPr="005D227F">
        <w:rPr>
          <w:rFonts w:ascii="Arial" w:hAnsi="Arial" w:cs="Arial"/>
          <w:lang w:val="en-CA"/>
        </w:rPr>
        <w:t xml:space="preserve">, </w:t>
      </w:r>
      <w:hyperlink r:id="rId13" w:history="1">
        <w:r w:rsidR="005D227F" w:rsidRPr="005D227F">
          <w:rPr>
            <w:rStyle w:val="Hyperlink"/>
            <w:rFonts w:ascii="Arial" w:hAnsi="Arial" w:cs="Arial"/>
            <w:u w:val="none"/>
            <w:lang w:val="en-CA"/>
          </w:rPr>
          <w:t>2012 SCC 32</w:t>
        </w:r>
      </w:hyperlink>
    </w:p>
    <w:p w14:paraId="70D3C9DB" w14:textId="53DB68DA" w:rsidR="00871CDD" w:rsidRPr="0019776A" w:rsidRDefault="00624F72" w:rsidP="00DE5BDE">
      <w:pPr>
        <w:pStyle w:val="Default"/>
        <w:numPr>
          <w:ilvl w:val="1"/>
          <w:numId w:val="1"/>
        </w:numPr>
        <w:spacing w:after="200"/>
        <w:jc w:val="both"/>
        <w:rPr>
          <w:rFonts w:ascii="Arial" w:hAnsi="Arial" w:cs="Arial"/>
          <w:color w:val="auto"/>
          <w:lang w:val="en-CA"/>
        </w:rPr>
      </w:pPr>
      <w:r>
        <w:rPr>
          <w:rFonts w:ascii="Arial" w:hAnsi="Arial" w:cs="Arial"/>
          <w:color w:val="auto"/>
          <w:lang w:val="en-CA"/>
        </w:rPr>
        <w:t xml:space="preserve">Damages –  </w:t>
      </w:r>
      <w:r w:rsidRPr="00A75117">
        <w:rPr>
          <w:rFonts w:ascii="Arial" w:hAnsi="Arial" w:cs="Arial"/>
          <w:i/>
          <w:lang w:val="en-CA"/>
        </w:rPr>
        <w:t>Andrews v. Grand &amp; Toy Alberta Ltd.,</w:t>
      </w:r>
      <w:r w:rsidRPr="00A75117">
        <w:rPr>
          <w:rFonts w:ascii="Arial" w:hAnsi="Arial" w:cs="Arial"/>
          <w:lang w:val="en-CA"/>
        </w:rPr>
        <w:t xml:space="preserve"> </w:t>
      </w:r>
      <w:hyperlink r:id="rId14" w:history="1">
        <w:r w:rsidRPr="00A75117">
          <w:rPr>
            <w:rStyle w:val="Hyperlink"/>
            <w:rFonts w:ascii="Arial" w:hAnsi="Arial" w:cs="Arial"/>
            <w:u w:val="none"/>
            <w:lang w:val="en-CA"/>
          </w:rPr>
          <w:t>[1978] 2 SCR 229</w:t>
        </w:r>
      </w:hyperlink>
      <w:r>
        <w:rPr>
          <w:rFonts w:ascii="Arial" w:hAnsi="Arial" w:cs="Arial"/>
          <w:lang w:val="en-CA"/>
        </w:rPr>
        <w:t xml:space="preserve">; </w:t>
      </w:r>
      <w:r w:rsidRPr="00A75117">
        <w:rPr>
          <w:rFonts w:ascii="Arial" w:hAnsi="Arial" w:cs="Arial"/>
          <w:i/>
          <w:lang w:val="en-CA"/>
        </w:rPr>
        <w:t xml:space="preserve">Morrison v. Van Den </w:t>
      </w:r>
      <w:proofErr w:type="spellStart"/>
      <w:r w:rsidRPr="00A75117">
        <w:rPr>
          <w:rFonts w:ascii="Arial" w:hAnsi="Arial" w:cs="Arial"/>
          <w:i/>
          <w:lang w:val="en-CA"/>
        </w:rPr>
        <w:t>Tillaart</w:t>
      </w:r>
      <w:proofErr w:type="spellEnd"/>
      <w:r w:rsidRPr="00A75117">
        <w:rPr>
          <w:rFonts w:ascii="Arial" w:hAnsi="Arial" w:cs="Arial"/>
          <w:lang w:val="en-CA"/>
        </w:rPr>
        <w:t xml:space="preserve">, </w:t>
      </w:r>
      <w:hyperlink r:id="rId15" w:history="1">
        <w:r w:rsidRPr="00A75117">
          <w:rPr>
            <w:rStyle w:val="Hyperlink"/>
            <w:rFonts w:ascii="Arial" w:hAnsi="Arial" w:cs="Arial"/>
            <w:u w:val="none"/>
            <w:lang w:val="en-CA"/>
          </w:rPr>
          <w:t>2012 BCSC 383</w:t>
        </w:r>
      </w:hyperlink>
    </w:p>
    <w:p w14:paraId="07F3D3FE" w14:textId="5C44FCF5" w:rsidR="00871CDD" w:rsidRPr="0019776A" w:rsidRDefault="00871CDD" w:rsidP="00DE5BDE">
      <w:pPr>
        <w:pStyle w:val="Default"/>
        <w:numPr>
          <w:ilvl w:val="0"/>
          <w:numId w:val="1"/>
        </w:numPr>
        <w:spacing w:after="200"/>
        <w:jc w:val="both"/>
        <w:rPr>
          <w:rFonts w:ascii="Arial" w:hAnsi="Arial" w:cs="Arial"/>
          <w:color w:val="auto"/>
          <w:lang w:val="en-CA"/>
        </w:rPr>
      </w:pPr>
      <w:r w:rsidRPr="0019776A">
        <w:rPr>
          <w:rFonts w:ascii="Arial" w:hAnsi="Arial" w:cs="Arial"/>
          <w:color w:val="auto"/>
          <w:lang w:val="en-CA"/>
        </w:rPr>
        <w:t>Burden of proof</w:t>
      </w:r>
      <w:r w:rsidR="00624F72">
        <w:rPr>
          <w:rFonts w:ascii="Arial" w:hAnsi="Arial" w:cs="Arial"/>
          <w:color w:val="auto"/>
          <w:lang w:val="en-CA"/>
        </w:rPr>
        <w:t xml:space="preserve"> – </w:t>
      </w:r>
      <w:r w:rsidR="00624F72" w:rsidRPr="00281DFB">
        <w:rPr>
          <w:rStyle w:val="Hyperlink"/>
          <w:rFonts w:ascii="Arial" w:hAnsi="Arial" w:cs="Arial"/>
          <w:i/>
          <w:color w:val="auto"/>
          <w:u w:val="none"/>
          <w:lang w:val="en-CA"/>
        </w:rPr>
        <w:t xml:space="preserve">Snell v. Farrell, </w:t>
      </w:r>
      <w:hyperlink r:id="rId16" w:history="1">
        <w:r w:rsidR="00624F72" w:rsidRPr="00281DFB">
          <w:rPr>
            <w:rStyle w:val="Hyperlink"/>
            <w:rFonts w:ascii="Arial" w:hAnsi="Arial" w:cs="Arial"/>
            <w:u w:val="none"/>
            <w:lang w:val="en-CA"/>
          </w:rPr>
          <w:t>[1990] 2 SCR 311</w:t>
        </w:r>
      </w:hyperlink>
    </w:p>
    <w:p w14:paraId="30186D73" w14:textId="4A90DEEB" w:rsidR="00871CDD" w:rsidRPr="0019776A" w:rsidRDefault="00871CDD" w:rsidP="00DE5BDE">
      <w:pPr>
        <w:pStyle w:val="Default"/>
        <w:numPr>
          <w:ilvl w:val="0"/>
          <w:numId w:val="1"/>
        </w:numPr>
        <w:spacing w:after="200"/>
        <w:jc w:val="both"/>
        <w:rPr>
          <w:rFonts w:ascii="Arial" w:hAnsi="Arial" w:cs="Arial"/>
          <w:color w:val="auto"/>
          <w:lang w:val="en-CA"/>
        </w:rPr>
      </w:pPr>
      <w:r w:rsidRPr="0019776A">
        <w:rPr>
          <w:rFonts w:ascii="Arial" w:hAnsi="Arial" w:cs="Arial"/>
          <w:color w:val="auto"/>
          <w:lang w:val="en-CA"/>
        </w:rPr>
        <w:t>Standard of proof</w:t>
      </w:r>
      <w:r w:rsidR="00624F72">
        <w:rPr>
          <w:rFonts w:ascii="Arial" w:hAnsi="Arial" w:cs="Arial"/>
          <w:color w:val="auto"/>
          <w:lang w:val="en-CA"/>
        </w:rPr>
        <w:t xml:space="preserve"> – </w:t>
      </w:r>
      <w:r w:rsidR="00624F72" w:rsidRPr="000810CF">
        <w:rPr>
          <w:rStyle w:val="Hyperlink"/>
          <w:rFonts w:ascii="Arial" w:hAnsi="Arial" w:cs="Arial"/>
          <w:i/>
          <w:color w:val="auto"/>
          <w:u w:val="none"/>
          <w:lang w:val="en-CA"/>
        </w:rPr>
        <w:t>F.H. v. McDougall</w:t>
      </w:r>
      <w:r w:rsidR="00624F72" w:rsidRPr="000810CF">
        <w:rPr>
          <w:rStyle w:val="Hyperlink"/>
          <w:rFonts w:ascii="Arial" w:hAnsi="Arial" w:cs="Arial"/>
          <w:color w:val="auto"/>
          <w:u w:val="none"/>
          <w:lang w:val="en-CA"/>
        </w:rPr>
        <w:t xml:space="preserve">, </w:t>
      </w:r>
      <w:hyperlink r:id="rId17" w:history="1">
        <w:r w:rsidR="00624F72" w:rsidRPr="000810CF">
          <w:rPr>
            <w:rStyle w:val="Hyperlink"/>
            <w:rFonts w:ascii="Arial" w:hAnsi="Arial" w:cs="Arial"/>
            <w:u w:val="none"/>
            <w:lang w:val="en-CA"/>
          </w:rPr>
          <w:t>2008 SCC 53</w:t>
        </w:r>
      </w:hyperlink>
    </w:p>
    <w:p w14:paraId="5F204DD6" w14:textId="61AE6F4F" w:rsidR="005D74EB" w:rsidRPr="00742970" w:rsidRDefault="005D74EB" w:rsidP="00585720">
      <w:pPr>
        <w:pStyle w:val="Default"/>
        <w:numPr>
          <w:ilvl w:val="0"/>
          <w:numId w:val="1"/>
        </w:numPr>
        <w:spacing w:after="200"/>
        <w:jc w:val="both"/>
        <w:rPr>
          <w:rStyle w:val="Hyperlink"/>
          <w:rFonts w:ascii="Arial" w:hAnsi="Arial" w:cs="Arial"/>
          <w:color w:val="auto"/>
          <w:u w:val="none"/>
          <w:lang w:val="en-CA"/>
        </w:rPr>
      </w:pPr>
      <w:r w:rsidRPr="005D74EB">
        <w:rPr>
          <w:rFonts w:ascii="Arial" w:hAnsi="Arial" w:cs="Arial"/>
          <w:color w:val="auto"/>
          <w:lang w:val="en-CA"/>
        </w:rPr>
        <w:t>Apportionment of fault</w:t>
      </w:r>
      <w:r w:rsidR="00B81B7E">
        <w:rPr>
          <w:rFonts w:ascii="Arial" w:hAnsi="Arial" w:cs="Arial"/>
          <w:color w:val="auto"/>
          <w:lang w:val="en-CA"/>
        </w:rPr>
        <w:t xml:space="preserve"> </w:t>
      </w:r>
      <w:r w:rsidR="00B81B7E" w:rsidRPr="00A57167">
        <w:rPr>
          <w:rFonts w:ascii="Arial" w:hAnsi="Arial" w:cs="Arial"/>
          <w:color w:val="auto"/>
          <w:lang w:val="en-CA"/>
        </w:rPr>
        <w:t xml:space="preserve">– </w:t>
      </w:r>
      <w:proofErr w:type="spellStart"/>
      <w:r w:rsidRPr="00801A6F">
        <w:rPr>
          <w:rFonts w:ascii="Arial" w:hAnsi="Arial" w:cs="Arial"/>
          <w:bCs/>
          <w:i/>
          <w:color w:val="auto"/>
          <w:lang w:val="en-CA"/>
        </w:rPr>
        <w:t>Alragheb</w:t>
      </w:r>
      <w:proofErr w:type="spellEnd"/>
      <w:r w:rsidRPr="00801A6F">
        <w:rPr>
          <w:rFonts w:ascii="Arial" w:hAnsi="Arial" w:cs="Arial"/>
          <w:bCs/>
          <w:i/>
          <w:color w:val="auto"/>
          <w:lang w:val="en-CA"/>
        </w:rPr>
        <w:t xml:space="preserve"> v. Francis</w:t>
      </w:r>
      <w:r w:rsidRPr="00801A6F">
        <w:rPr>
          <w:rFonts w:ascii="Arial" w:hAnsi="Arial" w:cs="Arial"/>
          <w:bCs/>
          <w:color w:val="auto"/>
          <w:lang w:val="en-CA"/>
        </w:rPr>
        <w:t xml:space="preserve">, </w:t>
      </w:r>
      <w:hyperlink r:id="rId18" w:history="1">
        <w:r w:rsidRPr="00801A6F">
          <w:rPr>
            <w:rStyle w:val="Hyperlink"/>
            <w:rFonts w:ascii="Arial" w:hAnsi="Arial" w:cs="Arial"/>
            <w:bCs/>
            <w:u w:val="none"/>
            <w:lang w:val="en-CA"/>
          </w:rPr>
          <w:t>2021 BCCA 457</w:t>
        </w:r>
      </w:hyperlink>
      <w:r w:rsidRPr="00801A6F">
        <w:rPr>
          <w:rFonts w:ascii="Arial" w:hAnsi="Arial" w:cs="Arial"/>
          <w:bCs/>
          <w:color w:val="auto"/>
          <w:lang w:val="en-CA"/>
        </w:rPr>
        <w:t>;</w:t>
      </w:r>
      <w:r>
        <w:rPr>
          <w:rFonts w:ascii="Arial" w:hAnsi="Arial" w:cs="Arial"/>
          <w:b/>
          <w:color w:val="auto"/>
          <w:lang w:val="en-CA"/>
        </w:rPr>
        <w:t xml:space="preserve"> </w:t>
      </w:r>
      <w:r w:rsidRPr="005D74EB">
        <w:rPr>
          <w:rFonts w:ascii="Arial" w:hAnsi="Arial" w:cs="Arial"/>
          <w:color w:val="auto"/>
          <w:lang w:val="en-CA"/>
        </w:rPr>
        <w:t xml:space="preserve"> </w:t>
      </w:r>
      <w:r w:rsidRPr="005F0942">
        <w:rPr>
          <w:rFonts w:ascii="Arial" w:hAnsi="Arial" w:cs="Arial"/>
          <w:i/>
          <w:color w:val="auto"/>
          <w:lang w:val="en-CA"/>
        </w:rPr>
        <w:t xml:space="preserve">Aberdeen v. Zanatta et al., </w:t>
      </w:r>
      <w:hyperlink r:id="rId19" w:history="1">
        <w:r w:rsidRPr="005F0942">
          <w:rPr>
            <w:rStyle w:val="Hyperlink"/>
            <w:rFonts w:ascii="Arial" w:hAnsi="Arial" w:cs="Arial"/>
            <w:u w:val="none"/>
            <w:lang w:val="en-CA"/>
          </w:rPr>
          <w:t>2007 BCSC 993</w:t>
        </w:r>
      </w:hyperlink>
      <w:r w:rsidRPr="005F0942">
        <w:rPr>
          <w:rFonts w:ascii="Arial" w:hAnsi="Arial" w:cs="Arial"/>
          <w:color w:val="auto"/>
          <w:lang w:val="en-CA"/>
        </w:rPr>
        <w:t xml:space="preserve">, varied  </w:t>
      </w:r>
      <w:hyperlink r:id="rId20" w:history="1">
        <w:r w:rsidRPr="005F0942">
          <w:rPr>
            <w:rStyle w:val="Hyperlink"/>
            <w:rFonts w:ascii="Arial" w:hAnsi="Arial" w:cs="Arial"/>
            <w:u w:val="none"/>
            <w:lang w:val="en-CA"/>
          </w:rPr>
          <w:t>2008 BCCA 420</w:t>
        </w:r>
      </w:hyperlink>
    </w:p>
    <w:p w14:paraId="652BF3DD" w14:textId="1F511D4F" w:rsidR="00742970" w:rsidRPr="00BB359D" w:rsidRDefault="00742970" w:rsidP="00742970">
      <w:pPr>
        <w:pStyle w:val="Default"/>
        <w:numPr>
          <w:ilvl w:val="0"/>
          <w:numId w:val="1"/>
        </w:numPr>
        <w:spacing w:after="200"/>
        <w:jc w:val="both"/>
        <w:rPr>
          <w:rStyle w:val="Hyperlink"/>
          <w:rFonts w:ascii="Arial" w:hAnsi="Arial" w:cs="Arial"/>
          <w:color w:val="auto"/>
          <w:u w:val="none"/>
          <w:lang w:val="en-CA"/>
        </w:rPr>
      </w:pPr>
      <w:r w:rsidRPr="0019776A">
        <w:rPr>
          <w:rFonts w:ascii="Arial" w:hAnsi="Arial" w:cs="Arial"/>
          <w:lang w:val="en-CA"/>
        </w:rPr>
        <w:t>Vicariou</w:t>
      </w:r>
      <w:r w:rsidR="00B81B7E">
        <w:rPr>
          <w:rFonts w:ascii="Arial" w:hAnsi="Arial" w:cs="Arial"/>
          <w:lang w:val="en-CA"/>
        </w:rPr>
        <w:t xml:space="preserve">s liability: why, how, and when </w:t>
      </w:r>
      <w:r w:rsidR="00B81B7E" w:rsidRPr="00A57167">
        <w:rPr>
          <w:rFonts w:ascii="Arial" w:hAnsi="Arial" w:cs="Arial"/>
          <w:color w:val="auto"/>
          <w:lang w:val="en-CA"/>
        </w:rPr>
        <w:t xml:space="preserve">– </w:t>
      </w:r>
      <w:r w:rsidRPr="005F0942">
        <w:rPr>
          <w:rStyle w:val="Hyperlink"/>
          <w:rFonts w:ascii="Arial" w:hAnsi="Arial" w:cs="Arial"/>
          <w:i/>
          <w:color w:val="auto"/>
          <w:u w:val="none"/>
          <w:lang w:val="en-CA"/>
        </w:rPr>
        <w:t xml:space="preserve">Bowe v. Bowe, </w:t>
      </w:r>
      <w:hyperlink r:id="rId21" w:history="1">
        <w:r w:rsidRPr="005F0942">
          <w:rPr>
            <w:rStyle w:val="Hyperlink"/>
            <w:rFonts w:ascii="Arial" w:hAnsi="Arial" w:cs="Arial"/>
            <w:u w:val="none"/>
            <w:lang w:val="en-CA"/>
          </w:rPr>
          <w:t>2019 BCSC 1454</w:t>
        </w:r>
      </w:hyperlink>
      <w:r w:rsidR="00071E5E">
        <w:rPr>
          <w:rStyle w:val="Hyperlink"/>
          <w:rFonts w:ascii="Arial" w:hAnsi="Arial" w:cs="Arial"/>
          <w:u w:val="none"/>
          <w:lang w:val="en-CA"/>
        </w:rPr>
        <w:t xml:space="preserve">, varied </w:t>
      </w:r>
      <w:hyperlink r:id="rId22" w:history="1">
        <w:r w:rsidR="00071E5E">
          <w:rPr>
            <w:rStyle w:val="Hyperlink"/>
            <w:rFonts w:ascii="Arial" w:hAnsi="Arial" w:cs="Arial"/>
            <w:szCs w:val="25"/>
          </w:rPr>
          <w:t>2022 BCCA 35</w:t>
        </w:r>
      </w:hyperlink>
      <w:r w:rsidR="00624F72" w:rsidRPr="005F0942">
        <w:rPr>
          <w:rStyle w:val="Hyperlink"/>
          <w:rFonts w:ascii="Arial" w:hAnsi="Arial" w:cs="Arial"/>
          <w:u w:val="none"/>
          <w:lang w:val="en-CA"/>
        </w:rPr>
        <w:t>;</w:t>
      </w:r>
      <w:r w:rsidR="00624F72">
        <w:rPr>
          <w:rStyle w:val="Hyperlink"/>
          <w:rFonts w:ascii="Arial" w:hAnsi="Arial" w:cs="Arial"/>
          <w:b/>
          <w:u w:val="none"/>
          <w:lang w:val="en-CA"/>
        </w:rPr>
        <w:t xml:space="preserve"> </w:t>
      </w:r>
      <w:r w:rsidR="00624F72" w:rsidRPr="005F0942">
        <w:rPr>
          <w:rStyle w:val="Hyperlink"/>
          <w:rFonts w:ascii="Arial" w:hAnsi="Arial" w:cs="Arial"/>
          <w:i/>
          <w:color w:val="auto"/>
          <w:u w:val="none"/>
          <w:lang w:val="en-CA"/>
        </w:rPr>
        <w:t>John Doe (G.E.B. #25) v The Roman Catholic Episcopal Corporation of St. John’s</w:t>
      </w:r>
      <w:r w:rsidR="00624F72" w:rsidRPr="005F0942">
        <w:rPr>
          <w:rStyle w:val="Hyperlink"/>
          <w:rFonts w:ascii="Arial" w:hAnsi="Arial" w:cs="Arial"/>
          <w:color w:val="auto"/>
          <w:u w:val="none"/>
          <w:lang w:val="en-CA"/>
        </w:rPr>
        <w:t xml:space="preserve">, </w:t>
      </w:r>
      <w:hyperlink r:id="rId23" w:history="1">
        <w:r w:rsidR="00624F72" w:rsidRPr="005F0942">
          <w:rPr>
            <w:rStyle w:val="Hyperlink"/>
            <w:rFonts w:ascii="Arial" w:hAnsi="Arial" w:cs="Arial"/>
            <w:u w:val="none"/>
            <w:lang w:val="en-CA"/>
          </w:rPr>
          <w:t>2020 NLCA 27</w:t>
        </w:r>
      </w:hyperlink>
    </w:p>
    <w:p w14:paraId="444CEFE4" w14:textId="1C245A03" w:rsidR="00BB359D" w:rsidRPr="00801A6F" w:rsidRDefault="00BB359D" w:rsidP="00BB359D">
      <w:pPr>
        <w:pStyle w:val="Default"/>
        <w:numPr>
          <w:ilvl w:val="1"/>
          <w:numId w:val="1"/>
        </w:numPr>
        <w:spacing w:after="200"/>
        <w:jc w:val="both"/>
        <w:rPr>
          <w:rFonts w:ascii="Arial" w:hAnsi="Arial" w:cs="Arial"/>
          <w:b/>
          <w:bCs/>
          <w:color w:val="FF0000"/>
          <w:lang w:val="en-CA"/>
        </w:rPr>
      </w:pPr>
      <w:r w:rsidRPr="00801A6F">
        <w:rPr>
          <w:rStyle w:val="Hyperlink"/>
          <w:rFonts w:ascii="Arial" w:hAnsi="Arial" w:cs="Arial"/>
          <w:b/>
          <w:bCs/>
          <w:i/>
          <w:iCs/>
          <w:color w:val="FF0000"/>
          <w:u w:val="none"/>
          <w:lang w:val="en-CA"/>
        </w:rPr>
        <w:t xml:space="preserve">H.N. v. Victoria School District, </w:t>
      </w:r>
      <w:r w:rsidRPr="00801A6F">
        <w:rPr>
          <w:rStyle w:val="Hyperlink"/>
          <w:rFonts w:ascii="Arial" w:hAnsi="Arial" w:cs="Arial"/>
          <w:b/>
          <w:bCs/>
          <w:color w:val="FF0000"/>
          <w:u w:val="none"/>
          <w:lang w:val="en-CA"/>
        </w:rPr>
        <w:t xml:space="preserve">Decision pending. </w:t>
      </w:r>
    </w:p>
    <w:p w14:paraId="342B94C4" w14:textId="275FE00F" w:rsidR="00871CDD" w:rsidRPr="0019776A" w:rsidRDefault="00742970" w:rsidP="00DE5BDE">
      <w:pPr>
        <w:pStyle w:val="Default"/>
        <w:numPr>
          <w:ilvl w:val="0"/>
          <w:numId w:val="1"/>
        </w:numPr>
        <w:spacing w:after="200"/>
        <w:jc w:val="both"/>
        <w:rPr>
          <w:rFonts w:ascii="Arial" w:hAnsi="Arial" w:cs="Arial"/>
          <w:color w:val="auto"/>
          <w:lang w:val="en-CA"/>
        </w:rPr>
      </w:pPr>
      <w:r>
        <w:rPr>
          <w:rFonts w:ascii="Arial" w:hAnsi="Arial" w:cs="Arial"/>
          <w:color w:val="auto"/>
          <w:lang w:val="en-CA"/>
        </w:rPr>
        <w:t>Applying the theory of p</w:t>
      </w:r>
      <w:r w:rsidR="0024607B" w:rsidRPr="0019776A">
        <w:rPr>
          <w:rFonts w:ascii="Arial" w:hAnsi="Arial" w:cs="Arial"/>
          <w:color w:val="auto"/>
          <w:lang w:val="en-CA"/>
        </w:rPr>
        <w:t>roving liability in motor vehicle collision</w:t>
      </w:r>
      <w:r w:rsidR="005E11B9">
        <w:rPr>
          <w:rFonts w:ascii="Arial" w:hAnsi="Arial" w:cs="Arial"/>
          <w:color w:val="auto"/>
          <w:lang w:val="en-CA"/>
        </w:rPr>
        <w:t>s, with reference to real case examples</w:t>
      </w:r>
      <w:r w:rsidR="0024607B" w:rsidRPr="0019776A">
        <w:rPr>
          <w:rFonts w:ascii="Arial" w:hAnsi="Arial" w:cs="Arial"/>
          <w:color w:val="auto"/>
          <w:lang w:val="en-CA"/>
        </w:rPr>
        <w:t>:</w:t>
      </w:r>
    </w:p>
    <w:p w14:paraId="2216CD3D" w14:textId="5E8064B5" w:rsidR="00742970" w:rsidRDefault="00810E77" w:rsidP="00DE5BDE">
      <w:pPr>
        <w:pStyle w:val="Default"/>
        <w:numPr>
          <w:ilvl w:val="1"/>
          <w:numId w:val="1"/>
        </w:numPr>
        <w:spacing w:after="200"/>
        <w:jc w:val="both"/>
        <w:rPr>
          <w:rFonts w:ascii="Arial" w:hAnsi="Arial" w:cs="Arial"/>
          <w:color w:val="auto"/>
          <w:lang w:val="en-CA"/>
        </w:rPr>
      </w:pPr>
      <w:r>
        <w:rPr>
          <w:rFonts w:ascii="Arial" w:hAnsi="Arial" w:cs="Arial"/>
          <w:color w:val="auto"/>
          <w:lang w:val="en-CA"/>
        </w:rPr>
        <w:t xml:space="preserve">Left turn collisions – </w:t>
      </w:r>
      <w:r w:rsidRPr="00D81C43">
        <w:rPr>
          <w:rFonts w:ascii="Arial" w:hAnsi="Arial" w:cs="Arial"/>
          <w:i/>
          <w:lang w:val="en-CA"/>
        </w:rPr>
        <w:t>Salaam v. Abramovic</w:t>
      </w:r>
      <w:r w:rsidRPr="00D81C43">
        <w:rPr>
          <w:rFonts w:ascii="Arial" w:hAnsi="Arial" w:cs="Arial"/>
          <w:lang w:val="en-CA"/>
        </w:rPr>
        <w:t xml:space="preserve">, </w:t>
      </w:r>
      <w:hyperlink r:id="rId24" w:history="1">
        <w:r w:rsidRPr="00D81C43">
          <w:rPr>
            <w:rStyle w:val="Hyperlink"/>
            <w:rFonts w:ascii="Arial" w:hAnsi="Arial" w:cs="Arial"/>
            <w:u w:val="none"/>
            <w:lang w:val="en-CA"/>
          </w:rPr>
          <w:t>2010 BCCA 212</w:t>
        </w:r>
      </w:hyperlink>
      <w:r>
        <w:rPr>
          <w:rFonts w:ascii="Arial" w:hAnsi="Arial" w:cs="Arial"/>
          <w:lang w:val="en-CA"/>
        </w:rPr>
        <w:t xml:space="preserve">; </w:t>
      </w:r>
      <w:r w:rsidRPr="008033F9">
        <w:rPr>
          <w:rFonts w:ascii="Arial" w:hAnsi="Arial" w:cs="Arial"/>
          <w:i/>
          <w:lang w:val="en-CA"/>
        </w:rPr>
        <w:t>Nerval v. Khehra</w:t>
      </w:r>
      <w:r w:rsidRPr="008033F9">
        <w:rPr>
          <w:rFonts w:ascii="Arial" w:hAnsi="Arial" w:cs="Arial"/>
          <w:lang w:val="en-CA"/>
        </w:rPr>
        <w:t xml:space="preserve">, </w:t>
      </w:r>
      <w:hyperlink r:id="rId25" w:history="1">
        <w:r w:rsidRPr="008033F9">
          <w:rPr>
            <w:rStyle w:val="Hyperlink"/>
            <w:rFonts w:ascii="Arial" w:hAnsi="Arial" w:cs="Arial"/>
            <w:u w:val="none"/>
            <w:lang w:val="en-CA"/>
          </w:rPr>
          <w:t>2012 BCCA 436</w:t>
        </w:r>
      </w:hyperlink>
      <w:r w:rsidR="00E31E1F">
        <w:rPr>
          <w:rFonts w:ascii="Arial" w:hAnsi="Arial" w:cs="Arial"/>
          <w:color w:val="auto"/>
          <w:lang w:val="en-CA"/>
        </w:rPr>
        <w:t xml:space="preserve"> </w:t>
      </w:r>
    </w:p>
    <w:p w14:paraId="06F701B1" w14:textId="4CC63DBE" w:rsidR="009324D8" w:rsidRPr="0019776A" w:rsidRDefault="009324D8" w:rsidP="00DE5BDE">
      <w:pPr>
        <w:pStyle w:val="Default"/>
        <w:numPr>
          <w:ilvl w:val="1"/>
          <w:numId w:val="1"/>
        </w:numPr>
        <w:spacing w:after="200"/>
        <w:jc w:val="both"/>
        <w:rPr>
          <w:rFonts w:ascii="Arial" w:hAnsi="Arial" w:cs="Arial"/>
          <w:color w:val="auto"/>
          <w:lang w:val="en-CA"/>
        </w:rPr>
      </w:pPr>
      <w:r w:rsidRPr="0019776A">
        <w:rPr>
          <w:rFonts w:ascii="Arial" w:hAnsi="Arial" w:cs="Arial"/>
          <w:color w:val="auto"/>
          <w:lang w:val="en-CA"/>
        </w:rPr>
        <w:t>Pedestrian collisions</w:t>
      </w:r>
      <w:r w:rsidR="00B81B7E">
        <w:rPr>
          <w:rFonts w:ascii="Arial" w:hAnsi="Arial" w:cs="Arial"/>
          <w:color w:val="auto"/>
          <w:lang w:val="en-CA"/>
        </w:rPr>
        <w:t xml:space="preserve"> </w:t>
      </w:r>
      <w:r w:rsidR="00B81B7E" w:rsidRPr="00A57167">
        <w:rPr>
          <w:rFonts w:ascii="Arial" w:hAnsi="Arial" w:cs="Arial"/>
          <w:color w:val="auto"/>
          <w:lang w:val="en-CA"/>
        </w:rPr>
        <w:t xml:space="preserve">– </w:t>
      </w:r>
      <w:r w:rsidRPr="00234C7B">
        <w:rPr>
          <w:rFonts w:ascii="Arial" w:hAnsi="Arial" w:cs="Arial"/>
          <w:bCs/>
          <w:i/>
          <w:color w:val="auto"/>
          <w:lang w:val="en-CA"/>
        </w:rPr>
        <w:t xml:space="preserve">Dewar v. </w:t>
      </w:r>
      <w:r w:rsidR="00FF0B09" w:rsidRPr="00234C7B">
        <w:rPr>
          <w:rFonts w:ascii="Arial" w:hAnsi="Arial" w:cs="Arial"/>
          <w:bCs/>
          <w:i/>
          <w:color w:val="auto"/>
          <w:lang w:val="en-CA"/>
        </w:rPr>
        <w:t xml:space="preserve">Finnigan, </w:t>
      </w:r>
      <w:hyperlink r:id="rId26" w:history="1">
        <w:r w:rsidR="00505246" w:rsidRPr="00234C7B">
          <w:rPr>
            <w:rStyle w:val="Hyperlink"/>
            <w:rFonts w:ascii="Arial" w:hAnsi="Arial" w:cs="Arial"/>
            <w:bCs/>
            <w:u w:val="none"/>
            <w:lang w:val="en-CA"/>
          </w:rPr>
          <w:t>2020 BCSC 1721</w:t>
        </w:r>
      </w:hyperlink>
      <w:r w:rsidR="00FF0B09" w:rsidRPr="0019776A">
        <w:rPr>
          <w:rFonts w:ascii="Arial" w:hAnsi="Arial" w:cs="Arial"/>
          <w:b/>
          <w:color w:val="auto"/>
          <w:lang w:val="en-CA"/>
        </w:rPr>
        <w:t xml:space="preserve"> </w:t>
      </w:r>
    </w:p>
    <w:p w14:paraId="24321692" w14:textId="5F698E75" w:rsidR="00A57167" w:rsidRPr="00A57167" w:rsidRDefault="0024607B" w:rsidP="00C50ACD">
      <w:pPr>
        <w:pStyle w:val="Default"/>
        <w:numPr>
          <w:ilvl w:val="1"/>
          <w:numId w:val="1"/>
        </w:numPr>
        <w:spacing w:after="200"/>
        <w:jc w:val="both"/>
        <w:rPr>
          <w:rFonts w:ascii="Arial" w:hAnsi="Arial" w:cs="Arial"/>
          <w:b/>
          <w:color w:val="auto"/>
          <w:lang w:val="en-CA"/>
        </w:rPr>
      </w:pPr>
      <w:r w:rsidRPr="00A57167">
        <w:rPr>
          <w:rFonts w:ascii="Arial" w:hAnsi="Arial" w:cs="Arial"/>
          <w:color w:val="auto"/>
          <w:lang w:val="en-CA"/>
        </w:rPr>
        <w:t>Rear-end</w:t>
      </w:r>
      <w:r w:rsidR="00100C13" w:rsidRPr="00A57167">
        <w:rPr>
          <w:rFonts w:ascii="Arial" w:hAnsi="Arial" w:cs="Arial"/>
          <w:color w:val="auto"/>
          <w:lang w:val="en-CA"/>
        </w:rPr>
        <w:t xml:space="preserve"> collision</w:t>
      </w:r>
      <w:r w:rsidR="00742970" w:rsidRPr="00A57167">
        <w:rPr>
          <w:rFonts w:ascii="Arial" w:hAnsi="Arial" w:cs="Arial"/>
          <w:color w:val="auto"/>
          <w:lang w:val="en-CA"/>
        </w:rPr>
        <w:t xml:space="preserve"> – </w:t>
      </w:r>
      <w:r w:rsidR="008139CC" w:rsidRPr="00A57167">
        <w:rPr>
          <w:rFonts w:ascii="Arial" w:hAnsi="Arial" w:cs="Arial"/>
          <w:i/>
          <w:color w:val="auto"/>
          <w:lang w:val="en-CA"/>
        </w:rPr>
        <w:t>Skinner v. Fu</w:t>
      </w:r>
      <w:r w:rsidR="008139CC" w:rsidRPr="00A57167">
        <w:rPr>
          <w:rFonts w:ascii="Arial" w:hAnsi="Arial" w:cs="Arial"/>
          <w:color w:val="auto"/>
          <w:lang w:val="en-CA"/>
        </w:rPr>
        <w:t xml:space="preserve">, </w:t>
      </w:r>
      <w:hyperlink r:id="rId27" w:history="1">
        <w:r w:rsidR="00A57167" w:rsidRPr="0064140D">
          <w:rPr>
            <w:rStyle w:val="Hyperlink"/>
            <w:rFonts w:ascii="Arial" w:hAnsi="Arial" w:cs="Arial"/>
            <w:u w:val="none"/>
            <w:lang w:val="en-GB"/>
          </w:rPr>
          <w:t>2010 BCCA 321</w:t>
        </w:r>
      </w:hyperlink>
      <w:r w:rsidR="008139CC" w:rsidRPr="00A57167">
        <w:rPr>
          <w:rFonts w:ascii="Arial" w:hAnsi="Arial" w:cs="Arial"/>
          <w:color w:val="auto"/>
          <w:lang w:val="en-CA"/>
        </w:rPr>
        <w:t xml:space="preserve">; </w:t>
      </w:r>
      <w:r w:rsidR="00A57167" w:rsidRPr="00A57167">
        <w:rPr>
          <w:rFonts w:ascii="Arial" w:hAnsi="Arial" w:cs="Arial"/>
          <w:i/>
          <w:lang w:val="en-GB"/>
        </w:rPr>
        <w:t>Wallman v John Doe</w:t>
      </w:r>
      <w:r w:rsidR="00A57167" w:rsidRPr="00A57167">
        <w:rPr>
          <w:rFonts w:ascii="Arial" w:hAnsi="Arial" w:cs="Arial"/>
          <w:lang w:val="en-GB"/>
        </w:rPr>
        <w:t xml:space="preserve">, </w:t>
      </w:r>
      <w:hyperlink r:id="rId28" w:history="1">
        <w:r w:rsidR="00A57167" w:rsidRPr="00A57167">
          <w:rPr>
            <w:rStyle w:val="Hyperlink"/>
            <w:rFonts w:ascii="Arial" w:hAnsi="Arial" w:cs="Arial"/>
            <w:u w:val="none"/>
            <w:lang w:val="en-GB"/>
          </w:rPr>
          <w:t>2014 BCSC 79</w:t>
        </w:r>
      </w:hyperlink>
      <w:r w:rsidR="00B81B7E">
        <w:rPr>
          <w:rStyle w:val="Hyperlink"/>
          <w:rFonts w:ascii="Arial" w:hAnsi="Arial" w:cs="Arial"/>
          <w:u w:val="none"/>
          <w:lang w:val="en-GB"/>
        </w:rPr>
        <w:t xml:space="preserve">; </w:t>
      </w:r>
      <w:r w:rsidR="00B81B7E" w:rsidRPr="00801A6F">
        <w:rPr>
          <w:rFonts w:ascii="Arial" w:hAnsi="Arial" w:cs="Arial"/>
          <w:b/>
          <w:i/>
          <w:color w:val="FF0000"/>
          <w:lang w:val="en-CA"/>
        </w:rPr>
        <w:t>Uy v. Dhillon</w:t>
      </w:r>
      <w:r w:rsidR="00B81B7E" w:rsidRPr="00801A6F">
        <w:rPr>
          <w:rFonts w:ascii="Arial" w:hAnsi="Arial" w:cs="Arial"/>
          <w:i/>
          <w:color w:val="FF0000"/>
          <w:lang w:val="en-CA"/>
        </w:rPr>
        <w:t xml:space="preserve">, </w:t>
      </w:r>
      <w:hyperlink r:id="rId29" w:history="1">
        <w:r w:rsidR="00B81B7E" w:rsidRPr="00801A6F">
          <w:rPr>
            <w:rStyle w:val="Hyperlink"/>
            <w:rFonts w:ascii="Arial" w:hAnsi="Arial" w:cs="Arial"/>
            <w:b/>
            <w:color w:val="FF0000"/>
            <w:u w:val="none"/>
            <w:lang w:val="en-CA"/>
          </w:rPr>
          <w:t>2019 BCSC 1136</w:t>
        </w:r>
      </w:hyperlink>
      <w:r w:rsidR="00B81B7E" w:rsidRPr="00801A6F">
        <w:rPr>
          <w:rStyle w:val="Hyperlink"/>
          <w:rFonts w:ascii="Arial" w:hAnsi="Arial" w:cs="Arial"/>
          <w:b/>
          <w:color w:val="FF0000"/>
          <w:u w:val="none"/>
          <w:lang w:val="en-CA"/>
        </w:rPr>
        <w:t>, aff’d</w:t>
      </w:r>
      <w:hyperlink r:id="rId30" w:history="1">
        <w:r w:rsidR="00B81B7E" w:rsidRPr="00801A6F">
          <w:rPr>
            <w:rStyle w:val="Hyperlink"/>
            <w:rFonts w:ascii="Arial" w:hAnsi="Arial" w:cs="Arial"/>
            <w:color w:val="FF0000"/>
            <w:u w:val="none"/>
            <w:lang w:val="en-CA"/>
          </w:rPr>
          <w:t xml:space="preserve"> </w:t>
        </w:r>
        <w:r w:rsidR="00B81B7E" w:rsidRPr="00801A6F">
          <w:rPr>
            <w:rStyle w:val="Hyperlink"/>
            <w:rFonts w:ascii="Arial" w:hAnsi="Arial" w:cs="Arial"/>
            <w:b/>
            <w:color w:val="FF0000"/>
            <w:u w:val="none"/>
            <w:lang w:val="en-CA"/>
          </w:rPr>
          <w:t>2020 BCCA 163</w:t>
        </w:r>
      </w:hyperlink>
    </w:p>
    <w:p w14:paraId="4F3D3163" w14:textId="2CFCDB74" w:rsidR="0024607B" w:rsidRPr="005D74EB" w:rsidRDefault="00742970" w:rsidP="005D74EB">
      <w:pPr>
        <w:pStyle w:val="Default"/>
        <w:numPr>
          <w:ilvl w:val="1"/>
          <w:numId w:val="1"/>
        </w:numPr>
        <w:spacing w:after="200"/>
        <w:jc w:val="both"/>
        <w:rPr>
          <w:rFonts w:ascii="Arial" w:hAnsi="Arial" w:cs="Arial"/>
          <w:b/>
          <w:color w:val="auto"/>
          <w:lang w:val="en-CA"/>
        </w:rPr>
      </w:pPr>
      <w:r>
        <w:rPr>
          <w:rFonts w:ascii="Arial" w:hAnsi="Arial" w:cs="Arial"/>
          <w:color w:val="auto"/>
          <w:lang w:val="en-CA"/>
        </w:rPr>
        <w:t>A</w:t>
      </w:r>
      <w:r w:rsidR="0024607B" w:rsidRPr="0019776A">
        <w:rPr>
          <w:rFonts w:ascii="Arial" w:hAnsi="Arial" w:cs="Arial"/>
          <w:color w:val="auto"/>
          <w:lang w:val="en-CA"/>
        </w:rPr>
        <w:t>gony of the collision</w:t>
      </w:r>
      <w:r w:rsidR="00B81B7E">
        <w:rPr>
          <w:rFonts w:ascii="Arial" w:hAnsi="Arial" w:cs="Arial"/>
          <w:color w:val="auto"/>
          <w:lang w:val="en-CA"/>
        </w:rPr>
        <w:t xml:space="preserve"> </w:t>
      </w:r>
      <w:r w:rsidR="00B81B7E" w:rsidRPr="00A57167">
        <w:rPr>
          <w:rFonts w:ascii="Arial" w:hAnsi="Arial" w:cs="Arial"/>
          <w:color w:val="auto"/>
          <w:lang w:val="en-CA"/>
        </w:rPr>
        <w:t xml:space="preserve">– </w:t>
      </w:r>
      <w:r w:rsidR="0024607B" w:rsidRPr="0019776A">
        <w:rPr>
          <w:rFonts w:ascii="Arial" w:hAnsi="Arial" w:cs="Arial"/>
          <w:color w:val="auto"/>
          <w:lang w:val="en-CA"/>
        </w:rPr>
        <w:t xml:space="preserve"> </w:t>
      </w:r>
      <w:r w:rsidR="00B81B7E" w:rsidRPr="00A83495">
        <w:rPr>
          <w:rFonts w:ascii="Arial" w:hAnsi="Arial" w:cs="Arial"/>
          <w:b/>
          <w:i/>
          <w:lang w:val="en-CA"/>
        </w:rPr>
        <w:t>Uy v. Dhillon</w:t>
      </w:r>
      <w:r w:rsidR="00B81B7E" w:rsidRPr="0019776A">
        <w:rPr>
          <w:rFonts w:ascii="Arial" w:hAnsi="Arial" w:cs="Arial"/>
          <w:i/>
          <w:lang w:val="en-CA"/>
        </w:rPr>
        <w:t xml:space="preserve">, </w:t>
      </w:r>
      <w:hyperlink r:id="rId31" w:history="1">
        <w:r w:rsidR="00B81B7E" w:rsidRPr="00673A5F">
          <w:rPr>
            <w:rStyle w:val="Hyperlink"/>
            <w:rFonts w:ascii="Arial" w:hAnsi="Arial" w:cs="Arial"/>
            <w:b/>
            <w:u w:val="none"/>
            <w:lang w:val="en-CA"/>
          </w:rPr>
          <w:t>2019 BCSC 1136</w:t>
        </w:r>
      </w:hyperlink>
      <w:r w:rsidR="00B81B7E" w:rsidRPr="00673A5F">
        <w:rPr>
          <w:rStyle w:val="Hyperlink"/>
          <w:rFonts w:ascii="Arial" w:hAnsi="Arial" w:cs="Arial"/>
          <w:b/>
          <w:u w:val="none"/>
          <w:lang w:val="en-CA"/>
        </w:rPr>
        <w:t xml:space="preserve">, </w:t>
      </w:r>
      <w:r w:rsidR="00B81B7E" w:rsidRPr="00673A5F">
        <w:rPr>
          <w:rStyle w:val="Hyperlink"/>
          <w:rFonts w:ascii="Arial" w:hAnsi="Arial" w:cs="Arial"/>
          <w:b/>
          <w:color w:val="auto"/>
          <w:u w:val="none"/>
          <w:lang w:val="en-CA"/>
        </w:rPr>
        <w:t>aff’</w:t>
      </w:r>
      <w:r w:rsidR="00B81B7E">
        <w:rPr>
          <w:rStyle w:val="Hyperlink"/>
          <w:rFonts w:ascii="Arial" w:hAnsi="Arial" w:cs="Arial"/>
          <w:b/>
          <w:color w:val="auto"/>
          <w:u w:val="none"/>
          <w:lang w:val="en-CA"/>
        </w:rPr>
        <w:t>d</w:t>
      </w:r>
      <w:hyperlink r:id="rId32" w:history="1">
        <w:r w:rsidR="00B81B7E" w:rsidRPr="00673A5F">
          <w:rPr>
            <w:rStyle w:val="Hyperlink"/>
            <w:rFonts w:ascii="Arial" w:hAnsi="Arial" w:cs="Arial"/>
            <w:u w:val="none"/>
            <w:lang w:val="en-CA"/>
          </w:rPr>
          <w:t xml:space="preserve"> </w:t>
        </w:r>
        <w:r w:rsidR="00B81B7E" w:rsidRPr="00673A5F">
          <w:rPr>
            <w:rStyle w:val="Hyperlink"/>
            <w:rFonts w:ascii="Arial" w:hAnsi="Arial" w:cs="Arial"/>
            <w:b/>
            <w:u w:val="none"/>
            <w:lang w:val="en-CA"/>
          </w:rPr>
          <w:t>2020 BCCA 163</w:t>
        </w:r>
      </w:hyperlink>
    </w:p>
    <w:p w14:paraId="70A6D704" w14:textId="682A3722" w:rsidR="005D74EB" w:rsidRPr="00801A6F" w:rsidRDefault="00C736A8" w:rsidP="005D74EB">
      <w:pPr>
        <w:pStyle w:val="ListParagraph"/>
        <w:widowControl w:val="0"/>
        <w:numPr>
          <w:ilvl w:val="0"/>
          <w:numId w:val="1"/>
        </w:numPr>
        <w:tabs>
          <w:tab w:val="left" w:pos="800"/>
        </w:tabs>
        <w:autoSpaceDE w:val="0"/>
        <w:autoSpaceDN w:val="0"/>
        <w:adjustRightInd w:val="0"/>
        <w:jc w:val="both"/>
        <w:rPr>
          <w:rStyle w:val="Hyperlink"/>
          <w:rFonts w:ascii="Arial" w:hAnsi="Arial" w:cs="Arial"/>
          <w:color w:val="FF0000"/>
          <w:sz w:val="24"/>
          <w:szCs w:val="24"/>
          <w:u w:val="none"/>
          <w:lang w:val="en-CA"/>
        </w:rPr>
      </w:pPr>
      <w:r w:rsidRPr="00C736A8">
        <w:rPr>
          <w:rFonts w:ascii="Arial" w:hAnsi="Arial" w:cs="Arial"/>
          <w:sz w:val="24"/>
          <w:szCs w:val="24"/>
        </w:rPr>
        <w:t>Applying the theory of proving assault and battery</w:t>
      </w:r>
      <w:r w:rsidRPr="00C736A8">
        <w:rPr>
          <w:rFonts w:ascii="Arial" w:hAnsi="Arial" w:cs="Arial"/>
          <w:sz w:val="24"/>
          <w:szCs w:val="24"/>
          <w:lang w:val="en-CA"/>
        </w:rPr>
        <w:t xml:space="preserve"> </w:t>
      </w:r>
      <w:r>
        <w:rPr>
          <w:rFonts w:ascii="Arial" w:hAnsi="Arial" w:cs="Arial"/>
          <w:sz w:val="24"/>
          <w:szCs w:val="24"/>
          <w:lang w:val="en-CA"/>
        </w:rPr>
        <w:t xml:space="preserve">for </w:t>
      </w:r>
      <w:r w:rsidR="005D74EB" w:rsidRPr="0019776A">
        <w:rPr>
          <w:rFonts w:ascii="Arial" w:hAnsi="Arial" w:cs="Arial"/>
          <w:sz w:val="24"/>
          <w:szCs w:val="24"/>
          <w:lang w:val="en-CA"/>
        </w:rPr>
        <w:t>sexual assault</w:t>
      </w:r>
      <w:r w:rsidR="00B81B7E">
        <w:rPr>
          <w:rFonts w:ascii="Arial" w:hAnsi="Arial" w:cs="Arial"/>
          <w:sz w:val="24"/>
          <w:szCs w:val="24"/>
          <w:lang w:val="en-CA"/>
        </w:rPr>
        <w:t xml:space="preserve"> </w:t>
      </w:r>
      <w:r w:rsidR="00B81B7E" w:rsidRPr="00A57167">
        <w:rPr>
          <w:rFonts w:ascii="Arial" w:hAnsi="Arial" w:cs="Arial"/>
          <w:lang w:val="en-CA"/>
        </w:rPr>
        <w:t>–</w:t>
      </w:r>
      <w:r w:rsidR="005D74EB" w:rsidRPr="0019776A">
        <w:rPr>
          <w:rFonts w:ascii="Arial" w:hAnsi="Arial" w:cs="Arial"/>
          <w:sz w:val="24"/>
          <w:szCs w:val="24"/>
          <w:lang w:val="en-CA"/>
        </w:rPr>
        <w:t xml:space="preserve"> </w:t>
      </w:r>
      <w:r w:rsidR="005D74EB" w:rsidRPr="00801A6F">
        <w:rPr>
          <w:rFonts w:ascii="Arial" w:hAnsi="Arial" w:cs="Arial"/>
          <w:b/>
          <w:i/>
          <w:color w:val="FF0000"/>
          <w:sz w:val="24"/>
          <w:szCs w:val="24"/>
          <w:lang w:val="en-CA"/>
        </w:rPr>
        <w:t>Anderson v. Molon</w:t>
      </w:r>
      <w:r w:rsidR="005D74EB" w:rsidRPr="00801A6F">
        <w:rPr>
          <w:rFonts w:ascii="Arial" w:hAnsi="Arial" w:cs="Arial"/>
          <w:b/>
          <w:color w:val="FF0000"/>
          <w:sz w:val="24"/>
          <w:szCs w:val="24"/>
          <w:lang w:val="en-CA"/>
        </w:rPr>
        <w:t>,</w:t>
      </w:r>
      <w:hyperlink r:id="rId33" w:history="1">
        <w:r w:rsidR="005D74EB" w:rsidRPr="00801A6F">
          <w:rPr>
            <w:rStyle w:val="Hyperlink"/>
            <w:rFonts w:ascii="Arial" w:hAnsi="Arial" w:cs="Arial"/>
            <w:b/>
            <w:color w:val="FF0000"/>
            <w:sz w:val="24"/>
            <w:szCs w:val="24"/>
            <w:u w:val="none"/>
            <w:lang w:val="en-CA"/>
          </w:rPr>
          <w:t xml:space="preserve"> 2020 BCSC 1247</w:t>
        </w:r>
      </w:hyperlink>
    </w:p>
    <w:p w14:paraId="3E8F2F78" w14:textId="77777777" w:rsidR="00B81B7E" w:rsidRPr="0019776A" w:rsidRDefault="00B81B7E" w:rsidP="00B81B7E">
      <w:pPr>
        <w:pStyle w:val="ListParagraph"/>
        <w:widowControl w:val="0"/>
        <w:tabs>
          <w:tab w:val="left" w:pos="800"/>
        </w:tabs>
        <w:autoSpaceDE w:val="0"/>
        <w:autoSpaceDN w:val="0"/>
        <w:adjustRightInd w:val="0"/>
        <w:jc w:val="both"/>
        <w:rPr>
          <w:rFonts w:ascii="Arial" w:hAnsi="Arial" w:cs="Arial"/>
          <w:sz w:val="24"/>
          <w:szCs w:val="24"/>
          <w:lang w:val="en-CA"/>
        </w:rPr>
      </w:pPr>
    </w:p>
    <w:p w14:paraId="1B17FF7A" w14:textId="6330AA7B" w:rsidR="00B81B7E" w:rsidRDefault="00EB77CF" w:rsidP="00E9696F">
      <w:pPr>
        <w:pStyle w:val="ListParagraph"/>
        <w:widowControl w:val="0"/>
        <w:numPr>
          <w:ilvl w:val="0"/>
          <w:numId w:val="1"/>
        </w:numPr>
        <w:tabs>
          <w:tab w:val="left" w:pos="800"/>
        </w:tabs>
        <w:autoSpaceDE w:val="0"/>
        <w:autoSpaceDN w:val="0"/>
        <w:adjustRightInd w:val="0"/>
        <w:jc w:val="both"/>
        <w:rPr>
          <w:rFonts w:ascii="Arial" w:hAnsi="Arial" w:cs="Arial"/>
          <w:sz w:val="24"/>
          <w:szCs w:val="24"/>
          <w:lang w:val="en-CA"/>
        </w:rPr>
      </w:pPr>
      <w:r w:rsidRPr="00EB77CF">
        <w:rPr>
          <w:rFonts w:ascii="Arial" w:hAnsi="Arial" w:cs="Arial"/>
          <w:sz w:val="24"/>
          <w:szCs w:val="24"/>
        </w:rPr>
        <w:t>Applying the theory of proving Occupier’s liability</w:t>
      </w:r>
      <w:r w:rsidRPr="00EB77CF">
        <w:rPr>
          <w:rFonts w:ascii="Arial" w:hAnsi="Arial" w:cs="Arial"/>
          <w:sz w:val="24"/>
          <w:szCs w:val="24"/>
          <w:lang w:val="en-CA"/>
        </w:rPr>
        <w:t xml:space="preserve"> </w:t>
      </w:r>
      <w:r w:rsidR="00B81B7E" w:rsidRPr="00A57167">
        <w:rPr>
          <w:rFonts w:ascii="Arial" w:hAnsi="Arial" w:cs="Arial"/>
          <w:lang w:val="en-CA"/>
        </w:rPr>
        <w:t>–</w:t>
      </w:r>
      <w:r w:rsidR="00E31E1F">
        <w:rPr>
          <w:rFonts w:ascii="Arial" w:hAnsi="Arial" w:cs="Arial"/>
          <w:sz w:val="24"/>
          <w:szCs w:val="24"/>
          <w:lang w:val="en-CA"/>
        </w:rPr>
        <w:t xml:space="preserve"> </w:t>
      </w:r>
      <w:proofErr w:type="spellStart"/>
      <w:r w:rsidR="00B81B7E" w:rsidRPr="00A15BA4">
        <w:rPr>
          <w:rStyle w:val="Hyperlink"/>
          <w:rFonts w:ascii="Arial" w:hAnsi="Arial" w:cs="Arial"/>
          <w:i/>
          <w:color w:val="auto"/>
          <w:sz w:val="24"/>
          <w:szCs w:val="24"/>
          <w:u w:val="none"/>
          <w:lang w:val="en-CA"/>
        </w:rPr>
        <w:t>Waldick</w:t>
      </w:r>
      <w:proofErr w:type="spellEnd"/>
      <w:r w:rsidR="00B81B7E" w:rsidRPr="00A15BA4">
        <w:rPr>
          <w:rStyle w:val="Hyperlink"/>
          <w:rFonts w:ascii="Arial" w:hAnsi="Arial" w:cs="Arial"/>
          <w:i/>
          <w:color w:val="auto"/>
          <w:sz w:val="24"/>
          <w:szCs w:val="24"/>
          <w:u w:val="none"/>
          <w:lang w:val="en-CA"/>
        </w:rPr>
        <w:t xml:space="preserve"> v Malcolm</w:t>
      </w:r>
      <w:r w:rsidR="00B81B7E" w:rsidRPr="00A57167">
        <w:rPr>
          <w:rStyle w:val="Hyperlink"/>
          <w:rFonts w:ascii="Arial" w:hAnsi="Arial" w:cs="Arial"/>
          <w:color w:val="auto"/>
          <w:sz w:val="24"/>
          <w:szCs w:val="24"/>
          <w:u w:val="none"/>
          <w:lang w:val="en-CA"/>
        </w:rPr>
        <w:t xml:space="preserve"> </w:t>
      </w:r>
      <w:hyperlink r:id="rId34" w:history="1">
        <w:r w:rsidR="00B81B7E" w:rsidRPr="00A57167">
          <w:rPr>
            <w:rStyle w:val="Hyperlink"/>
            <w:rFonts w:ascii="Arial" w:hAnsi="Arial" w:cs="Arial"/>
            <w:sz w:val="24"/>
            <w:szCs w:val="24"/>
            <w:u w:val="none"/>
            <w:lang w:val="en-CA"/>
          </w:rPr>
          <w:t>[1991] 2 SCR 456</w:t>
        </w:r>
      </w:hyperlink>
      <w:r w:rsidR="00B81B7E">
        <w:rPr>
          <w:rStyle w:val="Hyperlink"/>
          <w:rFonts w:ascii="Arial" w:hAnsi="Arial" w:cs="Arial"/>
          <w:sz w:val="24"/>
          <w:szCs w:val="24"/>
          <w:u w:val="none"/>
          <w:lang w:val="en-CA"/>
        </w:rPr>
        <w:t xml:space="preserve">; </w:t>
      </w:r>
      <w:r w:rsidR="00B81B7E" w:rsidRPr="00BB1FAD">
        <w:rPr>
          <w:rStyle w:val="Hyperlink"/>
          <w:rFonts w:ascii="Arial" w:hAnsi="Arial" w:cs="Arial"/>
          <w:i/>
          <w:color w:val="auto"/>
          <w:sz w:val="24"/>
          <w:szCs w:val="24"/>
          <w:u w:val="none"/>
          <w:lang w:val="en-CA"/>
        </w:rPr>
        <w:t>Agar v Weber</w:t>
      </w:r>
      <w:r w:rsidR="00B81B7E" w:rsidRPr="00A57167">
        <w:rPr>
          <w:rStyle w:val="Hyperlink"/>
          <w:rFonts w:ascii="Arial" w:hAnsi="Arial" w:cs="Arial"/>
          <w:color w:val="auto"/>
          <w:sz w:val="24"/>
          <w:szCs w:val="24"/>
          <w:u w:val="none"/>
          <w:lang w:val="en-CA"/>
        </w:rPr>
        <w:t xml:space="preserve">, </w:t>
      </w:r>
      <w:hyperlink r:id="rId35" w:history="1">
        <w:r w:rsidR="00B81B7E" w:rsidRPr="00A57167">
          <w:rPr>
            <w:rStyle w:val="Hyperlink"/>
            <w:rFonts w:ascii="Arial" w:hAnsi="Arial" w:cs="Arial"/>
            <w:sz w:val="24"/>
            <w:szCs w:val="24"/>
            <w:u w:val="none"/>
            <w:lang w:val="en-CA"/>
          </w:rPr>
          <w:t>2014 BCCA 297</w:t>
        </w:r>
      </w:hyperlink>
      <w:r w:rsidR="00B81B7E">
        <w:rPr>
          <w:rStyle w:val="Hyperlink"/>
          <w:rFonts w:ascii="Arial" w:hAnsi="Arial" w:cs="Arial"/>
          <w:sz w:val="24"/>
          <w:szCs w:val="24"/>
          <w:u w:val="none"/>
          <w:lang w:val="en-CA"/>
        </w:rPr>
        <w:t xml:space="preserve">; </w:t>
      </w:r>
      <w:r w:rsidR="00B81B7E" w:rsidRPr="00A15BA4">
        <w:rPr>
          <w:rStyle w:val="Hyperlink"/>
          <w:rFonts w:ascii="Arial" w:hAnsi="Arial" w:cs="Arial"/>
          <w:i/>
          <w:color w:val="auto"/>
          <w:sz w:val="24"/>
          <w:szCs w:val="24"/>
          <w:u w:val="none"/>
          <w:lang w:val="en-CA"/>
        </w:rPr>
        <w:t>Abdi v. Burnaby (City)</w:t>
      </w:r>
      <w:r w:rsidR="00B81B7E" w:rsidRPr="00A15BA4">
        <w:rPr>
          <w:rStyle w:val="Hyperlink"/>
          <w:rFonts w:ascii="Arial" w:hAnsi="Arial" w:cs="Arial"/>
          <w:color w:val="auto"/>
          <w:sz w:val="24"/>
          <w:szCs w:val="24"/>
          <w:u w:val="none"/>
          <w:lang w:val="en-CA"/>
        </w:rPr>
        <w:t>,</w:t>
      </w:r>
      <w:r w:rsidR="00B81B7E">
        <w:rPr>
          <w:rStyle w:val="Hyperlink"/>
          <w:rFonts w:ascii="Arial" w:hAnsi="Arial" w:cs="Arial"/>
          <w:color w:val="auto"/>
          <w:sz w:val="24"/>
          <w:szCs w:val="24"/>
          <w:u w:val="none"/>
          <w:lang w:val="en-CA"/>
        </w:rPr>
        <w:t xml:space="preserve"> </w:t>
      </w:r>
      <w:hyperlink r:id="rId36" w:history="1">
        <w:r w:rsidR="00B81B7E" w:rsidRPr="00A15BA4">
          <w:rPr>
            <w:rStyle w:val="Hyperlink"/>
            <w:rFonts w:ascii="Arial" w:hAnsi="Arial" w:cs="Arial"/>
            <w:sz w:val="24"/>
            <w:szCs w:val="24"/>
            <w:u w:val="none"/>
            <w:lang w:val="en-CA"/>
          </w:rPr>
          <w:t>2020 BCCA 125</w:t>
        </w:r>
      </w:hyperlink>
    </w:p>
    <w:p w14:paraId="7D27B976" w14:textId="77777777" w:rsidR="00B81B7E" w:rsidRDefault="00B81B7E" w:rsidP="00B81B7E">
      <w:pPr>
        <w:pStyle w:val="ListParagraph"/>
        <w:widowControl w:val="0"/>
        <w:tabs>
          <w:tab w:val="left" w:pos="800"/>
        </w:tabs>
        <w:autoSpaceDE w:val="0"/>
        <w:autoSpaceDN w:val="0"/>
        <w:adjustRightInd w:val="0"/>
        <w:jc w:val="both"/>
        <w:rPr>
          <w:rFonts w:ascii="Arial" w:hAnsi="Arial" w:cs="Arial"/>
          <w:sz w:val="24"/>
          <w:szCs w:val="24"/>
          <w:lang w:val="en-CA"/>
        </w:rPr>
      </w:pPr>
    </w:p>
    <w:p w14:paraId="028B102B" w14:textId="0C8C0090" w:rsidR="001819E3" w:rsidRPr="0019776A" w:rsidRDefault="001819E3" w:rsidP="00233C40">
      <w:pPr>
        <w:pStyle w:val="Default"/>
        <w:keepNext/>
        <w:keepLines/>
        <w:spacing w:after="200"/>
        <w:jc w:val="both"/>
        <w:rPr>
          <w:rFonts w:ascii="Arial" w:hAnsi="Arial" w:cs="Arial"/>
          <w:b/>
          <w:lang w:val="en-CA"/>
        </w:rPr>
      </w:pPr>
      <w:r w:rsidRPr="0019776A">
        <w:rPr>
          <w:rFonts w:ascii="Arial" w:hAnsi="Arial" w:cs="Arial"/>
          <w:b/>
          <w:lang w:val="en-CA"/>
        </w:rPr>
        <w:t xml:space="preserve">1.2 </w:t>
      </w:r>
      <w:r w:rsidR="0024755D">
        <w:rPr>
          <w:rFonts w:ascii="Arial" w:hAnsi="Arial" w:cs="Arial"/>
          <w:b/>
          <w:lang w:val="en-CA"/>
        </w:rPr>
        <w:t>E</w:t>
      </w:r>
      <w:r w:rsidR="0024755D" w:rsidRPr="0024755D">
        <w:rPr>
          <w:rFonts w:ascii="Arial" w:hAnsi="Arial" w:cs="Arial"/>
          <w:b/>
          <w:lang w:val="en-CA"/>
        </w:rPr>
        <w:t>lements of proving liability in negligence</w:t>
      </w:r>
    </w:p>
    <w:p w14:paraId="2BF7E6DD" w14:textId="77777777" w:rsidR="001819E3" w:rsidRPr="0019776A" w:rsidRDefault="001819E3" w:rsidP="00DE5BDE">
      <w:pPr>
        <w:pStyle w:val="Default"/>
        <w:numPr>
          <w:ilvl w:val="0"/>
          <w:numId w:val="2"/>
        </w:numPr>
        <w:spacing w:after="200"/>
        <w:ind w:left="360"/>
        <w:jc w:val="both"/>
        <w:rPr>
          <w:rFonts w:ascii="Arial" w:hAnsi="Arial" w:cs="Arial"/>
          <w:lang w:val="en-CA"/>
        </w:rPr>
      </w:pPr>
      <w:r w:rsidRPr="0019776A">
        <w:rPr>
          <w:rFonts w:ascii="Arial" w:hAnsi="Arial" w:cs="Arial"/>
          <w:lang w:val="en-CA"/>
        </w:rPr>
        <w:t>What do we mean by “negligence”?</w:t>
      </w:r>
    </w:p>
    <w:p w14:paraId="60606A54" w14:textId="77777777" w:rsidR="00C00C38" w:rsidRPr="0019776A" w:rsidRDefault="00C00C38" w:rsidP="00DE5BDE">
      <w:pPr>
        <w:pStyle w:val="ListParagraph"/>
        <w:widowControl w:val="0"/>
        <w:numPr>
          <w:ilvl w:val="1"/>
          <w:numId w:val="3"/>
        </w:numPr>
        <w:autoSpaceDE w:val="0"/>
        <w:autoSpaceDN w:val="0"/>
        <w:adjustRightInd w:val="0"/>
        <w:spacing w:line="276" w:lineRule="auto"/>
        <w:ind w:left="720"/>
        <w:jc w:val="both"/>
        <w:rPr>
          <w:rFonts w:ascii="Arial" w:hAnsi="Arial" w:cs="Arial"/>
          <w:sz w:val="24"/>
          <w:szCs w:val="24"/>
          <w:lang w:val="en-CA"/>
        </w:rPr>
      </w:pPr>
      <w:r w:rsidRPr="0019776A">
        <w:rPr>
          <w:rFonts w:ascii="Arial" w:hAnsi="Arial" w:cs="Arial"/>
          <w:sz w:val="24"/>
          <w:szCs w:val="24"/>
          <w:lang w:val="en-CA"/>
        </w:rPr>
        <w:t>“Failure to act as a reasonable person would be expected to act in similar circumstances”.</w:t>
      </w:r>
    </w:p>
    <w:p w14:paraId="6DDBF247" w14:textId="77777777" w:rsidR="00C00C38" w:rsidRPr="0019776A" w:rsidRDefault="00C00C38" w:rsidP="00C00C38">
      <w:pPr>
        <w:pStyle w:val="ListParagraph"/>
        <w:widowControl w:val="0"/>
        <w:autoSpaceDE w:val="0"/>
        <w:autoSpaceDN w:val="0"/>
        <w:adjustRightInd w:val="0"/>
        <w:jc w:val="both"/>
        <w:rPr>
          <w:rFonts w:ascii="Arial" w:hAnsi="Arial" w:cs="Arial"/>
          <w:sz w:val="24"/>
          <w:szCs w:val="24"/>
          <w:lang w:val="en-CA"/>
        </w:rPr>
      </w:pPr>
    </w:p>
    <w:p w14:paraId="29EA7EDD" w14:textId="77777777" w:rsidR="00C00C38" w:rsidRDefault="00C00C38" w:rsidP="00DE5BDE">
      <w:pPr>
        <w:pStyle w:val="ListParagraph"/>
        <w:widowControl w:val="0"/>
        <w:numPr>
          <w:ilvl w:val="1"/>
          <w:numId w:val="3"/>
        </w:numPr>
        <w:autoSpaceDE w:val="0"/>
        <w:autoSpaceDN w:val="0"/>
        <w:adjustRightInd w:val="0"/>
        <w:spacing w:line="276" w:lineRule="auto"/>
        <w:ind w:left="720"/>
        <w:jc w:val="both"/>
        <w:rPr>
          <w:rFonts w:ascii="Arial" w:hAnsi="Arial" w:cs="Arial"/>
          <w:sz w:val="24"/>
          <w:szCs w:val="24"/>
          <w:lang w:val="en-CA"/>
        </w:rPr>
      </w:pPr>
      <w:r w:rsidRPr="0019776A">
        <w:rPr>
          <w:rFonts w:ascii="Arial" w:hAnsi="Arial" w:cs="Arial"/>
          <w:sz w:val="24"/>
          <w:szCs w:val="24"/>
          <w:lang w:val="en-CA"/>
        </w:rPr>
        <w:t xml:space="preserve">In </w:t>
      </w:r>
      <w:r w:rsidRPr="0019776A">
        <w:rPr>
          <w:rFonts w:ascii="Arial" w:hAnsi="Arial" w:cs="Arial"/>
          <w:i/>
          <w:sz w:val="24"/>
          <w:szCs w:val="24"/>
          <w:lang w:val="en-CA"/>
        </w:rPr>
        <w:t>Ryan v. Victoria (City),</w:t>
      </w:r>
      <w:r w:rsidRPr="0019776A">
        <w:rPr>
          <w:rFonts w:ascii="Arial" w:hAnsi="Arial" w:cs="Arial"/>
          <w:sz w:val="24"/>
          <w:szCs w:val="24"/>
          <w:lang w:val="en-CA"/>
        </w:rPr>
        <w:t xml:space="preserve"> </w:t>
      </w:r>
      <w:hyperlink r:id="rId37" w:history="1">
        <w:r w:rsidRPr="00742970">
          <w:rPr>
            <w:rStyle w:val="Hyperlink"/>
            <w:rFonts w:ascii="Arial" w:hAnsi="Arial" w:cs="Arial"/>
            <w:sz w:val="24"/>
            <w:szCs w:val="24"/>
            <w:u w:val="none"/>
            <w:lang w:val="en-CA"/>
          </w:rPr>
          <w:t>[1999] 1 S.C.R. 201</w:t>
        </w:r>
      </w:hyperlink>
      <w:r w:rsidRPr="0019776A">
        <w:rPr>
          <w:rFonts w:ascii="Arial" w:hAnsi="Arial" w:cs="Arial"/>
          <w:sz w:val="24"/>
          <w:szCs w:val="24"/>
          <w:lang w:val="en-CA"/>
        </w:rPr>
        <w:t xml:space="preserve"> the Supreme Court of Canada summarized negligence as follows: Conduct is negligent if it creates an objectively unreasonable risk of harm. To avoid liability, a person must exercise the standard of care that would be expected of an ordinary, reasonable and prudent person in the same circumstances. The measure of what is reasonable depends on the facts of each case, including the likelihood of a known or foreseeable harm, the gravity of that harm, and the burden or cost which would be incurred to prevent the injury.  </w:t>
      </w:r>
    </w:p>
    <w:p w14:paraId="3D5FADFB" w14:textId="77777777" w:rsidR="004559BB" w:rsidRPr="004559BB" w:rsidRDefault="004559BB" w:rsidP="004559BB">
      <w:pPr>
        <w:pStyle w:val="ListParagraph"/>
        <w:rPr>
          <w:rFonts w:ascii="Arial" w:hAnsi="Arial" w:cs="Arial"/>
          <w:sz w:val="24"/>
          <w:szCs w:val="24"/>
          <w:lang w:val="en-CA"/>
        </w:rPr>
      </w:pPr>
    </w:p>
    <w:p w14:paraId="2B38CEBB" w14:textId="7B6966D1" w:rsidR="004559BB" w:rsidRPr="002B7880" w:rsidRDefault="004559BB" w:rsidP="00DE5BDE">
      <w:pPr>
        <w:pStyle w:val="ListParagraph"/>
        <w:widowControl w:val="0"/>
        <w:numPr>
          <w:ilvl w:val="1"/>
          <w:numId w:val="3"/>
        </w:numPr>
        <w:autoSpaceDE w:val="0"/>
        <w:autoSpaceDN w:val="0"/>
        <w:adjustRightInd w:val="0"/>
        <w:spacing w:line="276" w:lineRule="auto"/>
        <w:ind w:left="720"/>
        <w:jc w:val="both"/>
        <w:rPr>
          <w:rFonts w:ascii="Arial" w:hAnsi="Arial" w:cs="Arial"/>
          <w:color w:val="0070C0"/>
          <w:sz w:val="24"/>
          <w:szCs w:val="24"/>
          <w:lang w:val="en-CA"/>
        </w:rPr>
      </w:pPr>
      <w:r w:rsidRPr="002B7880">
        <w:rPr>
          <w:rFonts w:ascii="Arial" w:hAnsi="Arial" w:cs="Arial"/>
          <w:color w:val="0070C0"/>
          <w:sz w:val="24"/>
          <w:szCs w:val="24"/>
          <w:lang w:val="en-CA"/>
        </w:rPr>
        <w:t>The case has been positively discussed in a number of cases this year</w:t>
      </w:r>
      <w:r w:rsidR="002B7880" w:rsidRPr="002B7880">
        <w:rPr>
          <w:rFonts w:ascii="Arial" w:hAnsi="Arial" w:cs="Arial"/>
          <w:color w:val="0070C0"/>
          <w:sz w:val="24"/>
          <w:szCs w:val="24"/>
          <w:lang w:val="en-CA"/>
        </w:rPr>
        <w:t>,</w:t>
      </w:r>
      <w:r w:rsidRPr="002B7880">
        <w:rPr>
          <w:rFonts w:ascii="Arial" w:hAnsi="Arial" w:cs="Arial"/>
          <w:color w:val="0070C0"/>
          <w:sz w:val="24"/>
          <w:szCs w:val="24"/>
          <w:lang w:val="en-CA"/>
        </w:rPr>
        <w:t xml:space="preserve"> especially to reference that </w:t>
      </w:r>
      <w:r w:rsidR="002B7880" w:rsidRPr="002B7880">
        <w:rPr>
          <w:rFonts w:ascii="Arial" w:hAnsi="Arial" w:cs="Arial"/>
          <w:color w:val="0070C0"/>
          <w:sz w:val="24"/>
          <w:szCs w:val="24"/>
          <w:lang w:val="en-CA"/>
        </w:rPr>
        <w:t>external factors such as industry and regulatory standards may also be relevant but are neither determinative nor co-extensive.</w:t>
      </w:r>
    </w:p>
    <w:p w14:paraId="734A7BCF" w14:textId="77777777" w:rsidR="004559BB" w:rsidRPr="002B7880" w:rsidRDefault="004559BB" w:rsidP="004559BB">
      <w:pPr>
        <w:widowControl w:val="0"/>
        <w:autoSpaceDE w:val="0"/>
        <w:autoSpaceDN w:val="0"/>
        <w:adjustRightInd w:val="0"/>
        <w:spacing w:line="276" w:lineRule="auto"/>
        <w:jc w:val="both"/>
        <w:rPr>
          <w:rFonts w:ascii="Arial" w:hAnsi="Arial" w:cs="Arial"/>
          <w:color w:val="0070C0"/>
          <w:sz w:val="24"/>
          <w:szCs w:val="24"/>
          <w:lang w:val="en-CA"/>
        </w:rPr>
      </w:pPr>
    </w:p>
    <w:p w14:paraId="24119B82" w14:textId="77777777" w:rsidR="00C00C38" w:rsidRPr="0019776A" w:rsidRDefault="00C00C38" w:rsidP="00C00C38">
      <w:pPr>
        <w:pStyle w:val="ListParagraph"/>
        <w:widowControl w:val="0"/>
        <w:autoSpaceDE w:val="0"/>
        <w:autoSpaceDN w:val="0"/>
        <w:adjustRightInd w:val="0"/>
        <w:ind w:left="360"/>
        <w:jc w:val="both"/>
        <w:rPr>
          <w:rFonts w:ascii="Arial" w:hAnsi="Arial" w:cs="Arial"/>
          <w:sz w:val="24"/>
          <w:szCs w:val="24"/>
          <w:lang w:val="en-CA"/>
        </w:rPr>
      </w:pPr>
    </w:p>
    <w:p w14:paraId="52879F0B" w14:textId="77777777" w:rsidR="00C00C38" w:rsidRPr="0019776A" w:rsidRDefault="00C00C38" w:rsidP="00DE5BDE">
      <w:pPr>
        <w:pStyle w:val="ListParagraph"/>
        <w:widowControl w:val="0"/>
        <w:numPr>
          <w:ilvl w:val="0"/>
          <w:numId w:val="3"/>
        </w:numPr>
        <w:autoSpaceDE w:val="0"/>
        <w:autoSpaceDN w:val="0"/>
        <w:adjustRightInd w:val="0"/>
        <w:spacing w:line="276" w:lineRule="auto"/>
        <w:ind w:left="360"/>
        <w:jc w:val="both"/>
        <w:rPr>
          <w:rFonts w:ascii="Arial" w:hAnsi="Arial" w:cs="Arial"/>
          <w:sz w:val="24"/>
          <w:szCs w:val="24"/>
          <w:lang w:val="en-CA"/>
        </w:rPr>
      </w:pPr>
      <w:r w:rsidRPr="0019776A">
        <w:rPr>
          <w:rFonts w:ascii="Arial" w:hAnsi="Arial" w:cs="Arial"/>
          <w:sz w:val="24"/>
          <w:szCs w:val="24"/>
          <w:lang w:val="en-CA"/>
        </w:rPr>
        <w:t>What are the elements of negligence - what do you have to prove:</w:t>
      </w:r>
    </w:p>
    <w:p w14:paraId="37ED5A83" w14:textId="77777777" w:rsidR="00C00C38" w:rsidRPr="0019776A" w:rsidRDefault="00C00C38" w:rsidP="00C00C38">
      <w:pPr>
        <w:pStyle w:val="ListParagraph"/>
        <w:widowControl w:val="0"/>
        <w:autoSpaceDE w:val="0"/>
        <w:autoSpaceDN w:val="0"/>
        <w:adjustRightInd w:val="0"/>
        <w:jc w:val="both"/>
        <w:rPr>
          <w:rFonts w:ascii="Arial" w:hAnsi="Arial" w:cs="Arial"/>
          <w:sz w:val="24"/>
          <w:szCs w:val="24"/>
          <w:lang w:val="en-CA"/>
        </w:rPr>
      </w:pPr>
    </w:p>
    <w:p w14:paraId="27B6348D" w14:textId="77777777" w:rsidR="00C00C38" w:rsidRPr="0019776A" w:rsidRDefault="00C00C38" w:rsidP="00DE5BDE">
      <w:pPr>
        <w:pStyle w:val="ListParagraph"/>
        <w:widowControl w:val="0"/>
        <w:numPr>
          <w:ilvl w:val="0"/>
          <w:numId w:val="4"/>
        </w:numPr>
        <w:autoSpaceDE w:val="0"/>
        <w:autoSpaceDN w:val="0"/>
        <w:adjustRightInd w:val="0"/>
        <w:ind w:left="720"/>
        <w:jc w:val="both"/>
        <w:rPr>
          <w:rFonts w:ascii="Arial" w:hAnsi="Arial" w:cs="Arial"/>
          <w:sz w:val="24"/>
          <w:szCs w:val="24"/>
          <w:lang w:val="en-CA"/>
        </w:rPr>
      </w:pPr>
      <w:r w:rsidRPr="0019776A">
        <w:rPr>
          <w:rFonts w:ascii="Arial" w:hAnsi="Arial" w:cs="Arial"/>
          <w:sz w:val="24"/>
          <w:szCs w:val="24"/>
          <w:lang w:val="en-CA"/>
        </w:rPr>
        <w:t>First, the defendant owed a duty of care to the plaintiff;</w:t>
      </w:r>
    </w:p>
    <w:p w14:paraId="140ABA5A" w14:textId="77777777" w:rsidR="00C00C38" w:rsidRPr="0019776A" w:rsidRDefault="00C00C38" w:rsidP="00C00C38">
      <w:pPr>
        <w:pStyle w:val="ListParagraph"/>
        <w:widowControl w:val="0"/>
        <w:autoSpaceDE w:val="0"/>
        <w:autoSpaceDN w:val="0"/>
        <w:adjustRightInd w:val="0"/>
        <w:ind w:left="0"/>
        <w:jc w:val="both"/>
        <w:rPr>
          <w:rFonts w:ascii="Arial" w:hAnsi="Arial" w:cs="Arial"/>
          <w:sz w:val="24"/>
          <w:szCs w:val="24"/>
          <w:lang w:val="en-CA"/>
        </w:rPr>
      </w:pPr>
    </w:p>
    <w:p w14:paraId="7A9BB9DA" w14:textId="51FE6492" w:rsidR="00C00C38" w:rsidRPr="0019776A" w:rsidRDefault="00C00C38" w:rsidP="00DE5BDE">
      <w:pPr>
        <w:pStyle w:val="ListParagraph"/>
        <w:widowControl w:val="0"/>
        <w:numPr>
          <w:ilvl w:val="0"/>
          <w:numId w:val="4"/>
        </w:numPr>
        <w:autoSpaceDE w:val="0"/>
        <w:autoSpaceDN w:val="0"/>
        <w:adjustRightInd w:val="0"/>
        <w:ind w:left="720"/>
        <w:jc w:val="both"/>
        <w:rPr>
          <w:rFonts w:ascii="Arial" w:hAnsi="Arial" w:cs="Arial"/>
          <w:sz w:val="24"/>
          <w:szCs w:val="24"/>
          <w:lang w:val="en-CA"/>
        </w:rPr>
      </w:pPr>
      <w:r w:rsidRPr="0019776A">
        <w:rPr>
          <w:rFonts w:ascii="Arial" w:hAnsi="Arial" w:cs="Arial"/>
          <w:sz w:val="24"/>
          <w:szCs w:val="24"/>
          <w:lang w:val="en-CA"/>
        </w:rPr>
        <w:t xml:space="preserve">Second, the defendant breached </w:t>
      </w:r>
      <w:r w:rsidR="00233C40" w:rsidRPr="0019776A">
        <w:rPr>
          <w:rFonts w:ascii="Arial" w:hAnsi="Arial" w:cs="Arial"/>
          <w:sz w:val="24"/>
          <w:szCs w:val="24"/>
          <w:lang w:val="en-CA"/>
        </w:rPr>
        <w:t>the applicable standard of</w:t>
      </w:r>
      <w:r w:rsidRPr="0019776A">
        <w:rPr>
          <w:rFonts w:ascii="Arial" w:hAnsi="Arial" w:cs="Arial"/>
          <w:sz w:val="24"/>
          <w:szCs w:val="24"/>
          <w:lang w:val="en-CA"/>
        </w:rPr>
        <w:t xml:space="preserve"> care; </w:t>
      </w:r>
    </w:p>
    <w:p w14:paraId="4335D203" w14:textId="77777777" w:rsidR="00C00C38" w:rsidRPr="0019776A" w:rsidRDefault="00C00C38" w:rsidP="00C00C38">
      <w:pPr>
        <w:pStyle w:val="ListParagraph"/>
        <w:widowControl w:val="0"/>
        <w:autoSpaceDE w:val="0"/>
        <w:autoSpaceDN w:val="0"/>
        <w:adjustRightInd w:val="0"/>
        <w:ind w:left="0"/>
        <w:jc w:val="both"/>
        <w:rPr>
          <w:rFonts w:ascii="Arial" w:hAnsi="Arial" w:cs="Arial"/>
          <w:sz w:val="24"/>
          <w:szCs w:val="24"/>
          <w:lang w:val="en-CA"/>
        </w:rPr>
      </w:pPr>
    </w:p>
    <w:p w14:paraId="02C693A3" w14:textId="09BB7C10" w:rsidR="00C00C38" w:rsidRDefault="00C00C38" w:rsidP="00DE5BDE">
      <w:pPr>
        <w:pStyle w:val="ListParagraph"/>
        <w:widowControl w:val="0"/>
        <w:numPr>
          <w:ilvl w:val="0"/>
          <w:numId w:val="4"/>
        </w:numPr>
        <w:autoSpaceDE w:val="0"/>
        <w:autoSpaceDN w:val="0"/>
        <w:adjustRightInd w:val="0"/>
        <w:ind w:left="720"/>
        <w:jc w:val="both"/>
        <w:rPr>
          <w:rFonts w:ascii="Arial" w:hAnsi="Arial" w:cs="Arial"/>
          <w:sz w:val="24"/>
          <w:szCs w:val="24"/>
          <w:lang w:val="en-CA"/>
        </w:rPr>
      </w:pPr>
      <w:r w:rsidRPr="0019776A">
        <w:rPr>
          <w:rFonts w:ascii="Arial" w:hAnsi="Arial" w:cs="Arial"/>
          <w:sz w:val="24"/>
          <w:szCs w:val="24"/>
          <w:lang w:val="en-CA"/>
        </w:rPr>
        <w:t xml:space="preserve">Third, that breach of duty </w:t>
      </w:r>
      <w:r w:rsidRPr="0019776A">
        <w:rPr>
          <w:rFonts w:ascii="Arial" w:hAnsi="Arial" w:cs="Arial"/>
          <w:i/>
          <w:sz w:val="24"/>
          <w:szCs w:val="24"/>
          <w:lang w:val="en-CA"/>
        </w:rPr>
        <w:t xml:space="preserve">caused </w:t>
      </w:r>
      <w:r w:rsidRPr="0019776A">
        <w:rPr>
          <w:rFonts w:ascii="Arial" w:hAnsi="Arial" w:cs="Arial"/>
          <w:sz w:val="24"/>
          <w:szCs w:val="24"/>
          <w:lang w:val="en-CA"/>
        </w:rPr>
        <w:t>damage (or injury) to the plaintiff</w:t>
      </w:r>
      <w:r w:rsidR="0024755D">
        <w:rPr>
          <w:rFonts w:ascii="Arial" w:hAnsi="Arial" w:cs="Arial"/>
          <w:sz w:val="24"/>
          <w:szCs w:val="24"/>
          <w:lang w:val="en-CA"/>
        </w:rPr>
        <w:t>; and</w:t>
      </w:r>
    </w:p>
    <w:p w14:paraId="730CD826" w14:textId="77777777" w:rsidR="0024755D" w:rsidRPr="0024755D" w:rsidRDefault="0024755D" w:rsidP="0024755D">
      <w:pPr>
        <w:pStyle w:val="ListParagraph"/>
        <w:rPr>
          <w:rFonts w:ascii="Arial" w:hAnsi="Arial" w:cs="Arial"/>
          <w:sz w:val="24"/>
          <w:szCs w:val="24"/>
          <w:lang w:val="en-CA"/>
        </w:rPr>
      </w:pPr>
    </w:p>
    <w:p w14:paraId="789327AF" w14:textId="4B3F06F6" w:rsidR="0024755D" w:rsidRPr="0019776A" w:rsidRDefault="0024755D" w:rsidP="00DE5BDE">
      <w:pPr>
        <w:pStyle w:val="ListParagraph"/>
        <w:widowControl w:val="0"/>
        <w:numPr>
          <w:ilvl w:val="0"/>
          <w:numId w:val="4"/>
        </w:numPr>
        <w:autoSpaceDE w:val="0"/>
        <w:autoSpaceDN w:val="0"/>
        <w:adjustRightInd w:val="0"/>
        <w:ind w:left="720"/>
        <w:jc w:val="both"/>
        <w:rPr>
          <w:rFonts w:ascii="Arial" w:hAnsi="Arial" w:cs="Arial"/>
          <w:sz w:val="24"/>
          <w:szCs w:val="24"/>
          <w:lang w:val="en-CA"/>
        </w:rPr>
      </w:pPr>
      <w:r>
        <w:rPr>
          <w:rFonts w:ascii="Arial" w:hAnsi="Arial" w:cs="Arial"/>
          <w:sz w:val="24"/>
          <w:szCs w:val="24"/>
          <w:lang w:val="en-CA"/>
        </w:rPr>
        <w:t>Fourth, there must be damage (or injury) to the plaintiff.</w:t>
      </w:r>
    </w:p>
    <w:p w14:paraId="171A7FD3" w14:textId="77777777" w:rsidR="00C00C38" w:rsidRPr="0019776A" w:rsidRDefault="00C00C38" w:rsidP="00C00C38">
      <w:pPr>
        <w:pStyle w:val="ListParagraph"/>
        <w:widowControl w:val="0"/>
        <w:autoSpaceDE w:val="0"/>
        <w:autoSpaceDN w:val="0"/>
        <w:adjustRightInd w:val="0"/>
        <w:ind w:left="360"/>
        <w:jc w:val="both"/>
        <w:rPr>
          <w:rFonts w:ascii="Arial" w:hAnsi="Arial" w:cs="Arial"/>
          <w:sz w:val="24"/>
          <w:szCs w:val="24"/>
          <w:lang w:val="en-CA"/>
        </w:rPr>
      </w:pPr>
    </w:p>
    <w:p w14:paraId="6EA6908D" w14:textId="77777777" w:rsidR="001819E3" w:rsidRPr="0019776A" w:rsidRDefault="001819E3" w:rsidP="00C90492">
      <w:pPr>
        <w:pStyle w:val="Default"/>
        <w:keepNext/>
        <w:keepLines/>
        <w:spacing w:after="200"/>
        <w:jc w:val="both"/>
        <w:rPr>
          <w:rFonts w:ascii="Arial" w:hAnsi="Arial" w:cs="Arial"/>
          <w:b/>
          <w:lang w:val="en-CA"/>
        </w:rPr>
      </w:pPr>
      <w:r w:rsidRPr="0019776A">
        <w:rPr>
          <w:rFonts w:ascii="Arial" w:hAnsi="Arial" w:cs="Arial"/>
          <w:b/>
          <w:lang w:val="en-CA"/>
        </w:rPr>
        <w:t>1.3 First Element:  Duty of Care</w:t>
      </w:r>
    </w:p>
    <w:p w14:paraId="07046C55" w14:textId="77777777" w:rsidR="00C00C38" w:rsidRPr="0019776A" w:rsidRDefault="00C00C38" w:rsidP="00DE5BDE">
      <w:pPr>
        <w:pStyle w:val="Default"/>
        <w:numPr>
          <w:ilvl w:val="0"/>
          <w:numId w:val="5"/>
        </w:numPr>
        <w:spacing w:after="240"/>
        <w:ind w:left="360"/>
        <w:jc w:val="both"/>
        <w:rPr>
          <w:rFonts w:ascii="Arial" w:hAnsi="Arial" w:cs="Arial"/>
          <w:color w:val="auto"/>
          <w:lang w:val="en-CA"/>
        </w:rPr>
      </w:pPr>
      <w:r w:rsidRPr="0019776A">
        <w:rPr>
          <w:rFonts w:ascii="Arial" w:hAnsi="Arial" w:cs="Arial"/>
          <w:color w:val="auto"/>
          <w:lang w:val="en-CA"/>
        </w:rPr>
        <w:t>What do we mean by a “duty of care” in negligence:  “legal obligation imposed on an individual requiring adherence to a standard of reasonable care while performing an act”.</w:t>
      </w:r>
    </w:p>
    <w:p w14:paraId="3D37D1DC" w14:textId="77777777" w:rsidR="003E6773" w:rsidRPr="003E6773" w:rsidRDefault="00233C40" w:rsidP="003E6773">
      <w:pPr>
        <w:pStyle w:val="Default"/>
        <w:numPr>
          <w:ilvl w:val="0"/>
          <w:numId w:val="5"/>
        </w:numPr>
        <w:spacing w:after="240"/>
        <w:ind w:left="360"/>
        <w:jc w:val="both"/>
        <w:rPr>
          <w:rFonts w:ascii="Arial" w:hAnsi="Arial" w:cs="Arial"/>
          <w:b/>
          <w:color w:val="auto"/>
          <w:lang w:val="en-CA"/>
        </w:rPr>
      </w:pPr>
      <w:r w:rsidRPr="0019776A">
        <w:rPr>
          <w:rFonts w:ascii="Arial" w:hAnsi="Arial" w:cs="Arial"/>
          <w:color w:val="auto"/>
          <w:lang w:val="en-CA"/>
        </w:rPr>
        <w:t xml:space="preserve">The Supreme Court of Canada addressed the test for duty of care in </w:t>
      </w:r>
      <w:r w:rsidR="00597083" w:rsidRPr="0019776A">
        <w:rPr>
          <w:rFonts w:ascii="Arial" w:hAnsi="Arial" w:cs="Arial"/>
          <w:b/>
          <w:i/>
          <w:color w:val="auto"/>
          <w:lang w:val="en-CA"/>
        </w:rPr>
        <w:t>Rankin (</w:t>
      </w:r>
      <w:r w:rsidRPr="0019776A">
        <w:rPr>
          <w:rFonts w:ascii="Arial" w:hAnsi="Arial" w:cs="Arial"/>
          <w:b/>
          <w:i/>
          <w:color w:val="auto"/>
          <w:lang w:val="en-CA"/>
        </w:rPr>
        <w:t xml:space="preserve">Rankin’s Garage) v. J.J., </w:t>
      </w:r>
      <w:hyperlink r:id="rId38" w:history="1">
        <w:r w:rsidRPr="00742970">
          <w:rPr>
            <w:rStyle w:val="Hyperlink"/>
            <w:rFonts w:ascii="Arial" w:hAnsi="Arial" w:cs="Arial"/>
            <w:b/>
            <w:u w:val="none"/>
            <w:lang w:val="en-CA"/>
          </w:rPr>
          <w:t>2018 SCC 19</w:t>
        </w:r>
      </w:hyperlink>
      <w:r w:rsidRPr="0019776A">
        <w:rPr>
          <w:rFonts w:ascii="Arial" w:hAnsi="Arial" w:cs="Arial"/>
          <w:b/>
          <w:lang w:val="en-CA"/>
        </w:rPr>
        <w:t>.</w:t>
      </w:r>
    </w:p>
    <w:p w14:paraId="5E1EF8B8" w14:textId="77777777" w:rsidR="003E6773" w:rsidRPr="003E6773" w:rsidRDefault="00233C40" w:rsidP="003E6773">
      <w:pPr>
        <w:pStyle w:val="Default"/>
        <w:spacing w:after="240"/>
        <w:ind w:left="360"/>
        <w:jc w:val="both"/>
        <w:rPr>
          <w:rFonts w:ascii="Arial" w:hAnsi="Arial" w:cs="Arial"/>
          <w:bCs/>
          <w:lang w:val="en-CA"/>
        </w:rPr>
      </w:pPr>
      <w:r w:rsidRPr="003E6773">
        <w:rPr>
          <w:rFonts w:ascii="Arial" w:hAnsi="Arial" w:cs="Arial"/>
          <w:bCs/>
          <w:lang w:val="en-CA"/>
        </w:rPr>
        <w:t xml:space="preserve"> </w:t>
      </w:r>
      <w:r w:rsidR="003E6773" w:rsidRPr="003E6773">
        <w:rPr>
          <w:rFonts w:ascii="Arial" w:hAnsi="Arial" w:cs="Arial"/>
          <w:bCs/>
          <w:lang w:val="en-CA"/>
        </w:rPr>
        <w:t>o</w:t>
      </w:r>
      <w:r w:rsidR="003E6773" w:rsidRPr="003E6773">
        <w:rPr>
          <w:rFonts w:ascii="Arial" w:hAnsi="Arial" w:cs="Arial"/>
          <w:bCs/>
          <w:lang w:val="en-CA"/>
        </w:rPr>
        <w:tab/>
        <w:t>In July 2006, in Paisley, Ontario, the plaintiff JJ and his friend CC (then 15 and 16 years old) were in the home of CC’s mother. The mother supplied the teenagers with alcohol. Mom went to bed and the boys continued to drink and smoke marijuana. Thereafter, the boys left the house with the intention of stealing valuables from unlocked cars. The pair eventually made their way to Rankin’s Garage, where they found an unlocked Toyota Camry with the keys in the ashtray. CC and JJ decided to steal the car even though neither had a driver’s license and neither had previously operated a vehicle. CC lost control of the vehicle on the highway. JJ, the passenger, experienced a catastrophic brain injury.</w:t>
      </w:r>
    </w:p>
    <w:p w14:paraId="65389923" w14:textId="77777777" w:rsidR="003E6773" w:rsidRPr="003E6773" w:rsidRDefault="003E6773" w:rsidP="003E6773">
      <w:pPr>
        <w:pStyle w:val="Default"/>
        <w:spacing w:after="240"/>
        <w:ind w:left="360"/>
        <w:jc w:val="both"/>
        <w:rPr>
          <w:rFonts w:ascii="Arial" w:hAnsi="Arial" w:cs="Arial"/>
          <w:bCs/>
          <w:lang w:val="en-CA"/>
        </w:rPr>
      </w:pPr>
      <w:r w:rsidRPr="003E6773">
        <w:rPr>
          <w:rFonts w:ascii="Arial" w:hAnsi="Arial" w:cs="Arial"/>
          <w:bCs/>
          <w:lang w:val="en-CA"/>
        </w:rPr>
        <w:t>o</w:t>
      </w:r>
      <w:r w:rsidRPr="003E6773">
        <w:rPr>
          <w:rFonts w:ascii="Arial" w:hAnsi="Arial" w:cs="Arial"/>
          <w:bCs/>
          <w:lang w:val="en-CA"/>
        </w:rPr>
        <w:tab/>
      </w:r>
      <w:proofErr w:type="gramStart"/>
      <w:r w:rsidRPr="003E6773">
        <w:rPr>
          <w:rFonts w:ascii="Arial" w:hAnsi="Arial" w:cs="Arial"/>
          <w:bCs/>
          <w:lang w:val="en-CA"/>
        </w:rPr>
        <w:t>The</w:t>
      </w:r>
      <w:proofErr w:type="gramEnd"/>
      <w:r w:rsidRPr="003E6773">
        <w:rPr>
          <w:rFonts w:ascii="Arial" w:hAnsi="Arial" w:cs="Arial"/>
          <w:bCs/>
          <w:lang w:val="en-CA"/>
        </w:rPr>
        <w:t xml:space="preserve"> action proceeded to a liability-only trial. The trial judge (the trial judge decides a pure question of law) found that Rankin owed a duty to </w:t>
      </w:r>
      <w:proofErr w:type="gramStart"/>
      <w:r w:rsidRPr="003E6773">
        <w:rPr>
          <w:rFonts w:ascii="Arial" w:hAnsi="Arial" w:cs="Arial"/>
          <w:bCs/>
          <w:lang w:val="en-CA"/>
        </w:rPr>
        <w:t>JJ</w:t>
      </w:r>
      <w:proofErr w:type="gramEnd"/>
      <w:r w:rsidRPr="003E6773">
        <w:rPr>
          <w:rFonts w:ascii="Arial" w:hAnsi="Arial" w:cs="Arial"/>
          <w:bCs/>
          <w:lang w:val="en-CA"/>
        </w:rPr>
        <w:t xml:space="preserve"> and she instructed the jury accordingly. The Jury accepted the evidence of several witnesses who testified that Rankin’s Garage had a practice of leaving cars unlocked with keys in the vehicles.  Ultimately, the Jury found all parties negligent and apportioned liability as follows:</w:t>
      </w:r>
    </w:p>
    <w:p w14:paraId="4757BBF1" w14:textId="77777777" w:rsidR="003E6773" w:rsidRPr="003E6773" w:rsidRDefault="003E6773" w:rsidP="003E6773">
      <w:pPr>
        <w:pStyle w:val="Default"/>
        <w:spacing w:after="240"/>
        <w:ind w:left="360"/>
        <w:jc w:val="both"/>
        <w:rPr>
          <w:rFonts w:ascii="Arial" w:hAnsi="Arial" w:cs="Arial"/>
          <w:bCs/>
          <w:lang w:val="en-CA"/>
        </w:rPr>
      </w:pPr>
      <w:r w:rsidRPr="003E6773">
        <w:rPr>
          <w:rFonts w:ascii="Arial" w:hAnsi="Arial" w:cs="Arial"/>
          <w:bCs/>
          <w:lang w:val="en-CA"/>
        </w:rPr>
        <w:t>Rankin’s Garage:    37%</w:t>
      </w:r>
    </w:p>
    <w:p w14:paraId="0BD1D96E" w14:textId="77777777" w:rsidR="003E6773" w:rsidRPr="003E6773" w:rsidRDefault="003E6773" w:rsidP="003E6773">
      <w:pPr>
        <w:pStyle w:val="Default"/>
        <w:spacing w:after="240"/>
        <w:ind w:left="360"/>
        <w:jc w:val="both"/>
        <w:rPr>
          <w:rFonts w:ascii="Arial" w:hAnsi="Arial" w:cs="Arial"/>
          <w:bCs/>
          <w:lang w:val="en-CA"/>
        </w:rPr>
      </w:pPr>
      <w:r w:rsidRPr="003E6773">
        <w:rPr>
          <w:rFonts w:ascii="Arial" w:hAnsi="Arial" w:cs="Arial"/>
          <w:bCs/>
          <w:lang w:val="en-CA"/>
        </w:rPr>
        <w:t>CC’s mother:           30%</w:t>
      </w:r>
    </w:p>
    <w:p w14:paraId="0C8F1260" w14:textId="77777777" w:rsidR="003E6773" w:rsidRPr="003E6773" w:rsidRDefault="003E6773" w:rsidP="003E6773">
      <w:pPr>
        <w:pStyle w:val="Default"/>
        <w:spacing w:after="240"/>
        <w:ind w:left="360"/>
        <w:jc w:val="both"/>
        <w:rPr>
          <w:rFonts w:ascii="Arial" w:hAnsi="Arial" w:cs="Arial"/>
          <w:bCs/>
          <w:lang w:val="en-CA"/>
        </w:rPr>
      </w:pPr>
      <w:r w:rsidRPr="003E6773">
        <w:rPr>
          <w:rFonts w:ascii="Arial" w:hAnsi="Arial" w:cs="Arial"/>
          <w:bCs/>
          <w:lang w:val="en-CA"/>
        </w:rPr>
        <w:t>The friend, CC:       23%</w:t>
      </w:r>
    </w:p>
    <w:p w14:paraId="67C0B64D" w14:textId="77777777" w:rsidR="003E6773" w:rsidRPr="003E6773" w:rsidRDefault="003E6773" w:rsidP="003E6773">
      <w:pPr>
        <w:pStyle w:val="Default"/>
        <w:spacing w:after="240"/>
        <w:ind w:left="360"/>
        <w:jc w:val="both"/>
        <w:rPr>
          <w:rFonts w:ascii="Arial" w:hAnsi="Arial" w:cs="Arial"/>
          <w:bCs/>
          <w:lang w:val="en-CA"/>
        </w:rPr>
      </w:pPr>
      <w:r w:rsidRPr="003E6773">
        <w:rPr>
          <w:rFonts w:ascii="Arial" w:hAnsi="Arial" w:cs="Arial"/>
          <w:bCs/>
          <w:lang w:val="en-CA"/>
        </w:rPr>
        <w:t>The Plaintiff, JJ:      10%</w:t>
      </w:r>
    </w:p>
    <w:p w14:paraId="671EA879" w14:textId="77777777" w:rsidR="003E6773" w:rsidRPr="003E6773" w:rsidRDefault="003E6773" w:rsidP="003E6773">
      <w:pPr>
        <w:pStyle w:val="Default"/>
        <w:spacing w:after="240"/>
        <w:ind w:left="360"/>
        <w:jc w:val="both"/>
        <w:rPr>
          <w:rFonts w:ascii="Arial" w:hAnsi="Arial" w:cs="Arial"/>
          <w:bCs/>
          <w:lang w:val="en-CA"/>
        </w:rPr>
      </w:pPr>
      <w:r w:rsidRPr="003E6773">
        <w:rPr>
          <w:rFonts w:ascii="Arial" w:hAnsi="Arial" w:cs="Arial"/>
          <w:bCs/>
          <w:lang w:val="en-CA"/>
        </w:rPr>
        <w:t>o</w:t>
      </w:r>
      <w:r w:rsidRPr="003E6773">
        <w:rPr>
          <w:rFonts w:ascii="Arial" w:hAnsi="Arial" w:cs="Arial"/>
          <w:bCs/>
          <w:lang w:val="en-CA"/>
        </w:rPr>
        <w:tab/>
      </w:r>
      <w:proofErr w:type="gramStart"/>
      <w:r w:rsidRPr="003E6773">
        <w:rPr>
          <w:rFonts w:ascii="Arial" w:hAnsi="Arial" w:cs="Arial"/>
          <w:bCs/>
          <w:lang w:val="en-CA"/>
        </w:rPr>
        <w:t>In</w:t>
      </w:r>
      <w:proofErr w:type="gramEnd"/>
      <w:r w:rsidRPr="003E6773">
        <w:rPr>
          <w:rFonts w:ascii="Arial" w:hAnsi="Arial" w:cs="Arial"/>
          <w:bCs/>
          <w:lang w:val="en-CA"/>
        </w:rPr>
        <w:t xml:space="preserve"> a 7-2 majority decision, the Supreme Court of Canada held there was no duty of care owed by Rankin to JJ on these facts. Writing for the majority, Karakatsanis, J. stressed that determining whether something is “reasonably foreseeable” is an objective test, and that Courts must be vigorous in determining whether foreseeability is present prior to the incident occurring and not with the benefit of hindsight.</w:t>
      </w:r>
    </w:p>
    <w:p w14:paraId="1E321781" w14:textId="77777777" w:rsidR="003E6773" w:rsidRPr="003E6773" w:rsidRDefault="003E6773" w:rsidP="003E6773">
      <w:pPr>
        <w:pStyle w:val="Default"/>
        <w:spacing w:after="240"/>
        <w:ind w:left="360"/>
        <w:jc w:val="both"/>
        <w:rPr>
          <w:rFonts w:ascii="Arial" w:hAnsi="Arial" w:cs="Arial"/>
          <w:bCs/>
          <w:lang w:val="en-CA"/>
        </w:rPr>
      </w:pPr>
      <w:r w:rsidRPr="003E6773">
        <w:rPr>
          <w:rFonts w:ascii="Arial" w:hAnsi="Arial" w:cs="Arial"/>
          <w:bCs/>
          <w:lang w:val="en-CA"/>
        </w:rPr>
        <w:t>“…I am not satisfied that the evidence here demonstrates that bodily harm resulting from the theft of the vehicle was reasonably foreseeable. I conclude that the plaintiff did not satisfy the onus to establish that the defendant ought to have contemplated the risk of personal injury when considering its security practices. The inferential chain of reasoning was too weak to support the establishment of reasonable foreseeability…For these reasons, the plaintiff has not met his burden of establishing a prima facie duty of care owed by Rankin’s Garage to him. Reasonable foreseeability could not be established on this record.”</w:t>
      </w:r>
    </w:p>
    <w:p w14:paraId="6140C66E" w14:textId="02BC78C6" w:rsidR="003E6773" w:rsidRPr="003E6773" w:rsidRDefault="003E6773" w:rsidP="003E6773">
      <w:pPr>
        <w:pStyle w:val="Default"/>
        <w:spacing w:after="240"/>
        <w:ind w:left="360"/>
        <w:jc w:val="both"/>
        <w:rPr>
          <w:rFonts w:ascii="Arial" w:hAnsi="Arial" w:cs="Arial"/>
          <w:bCs/>
          <w:color w:val="auto"/>
          <w:lang w:val="en-CA"/>
        </w:rPr>
      </w:pPr>
      <w:r w:rsidRPr="003E6773">
        <w:rPr>
          <w:rFonts w:ascii="Arial" w:hAnsi="Arial" w:cs="Arial"/>
          <w:bCs/>
          <w:lang w:val="en-CA"/>
        </w:rPr>
        <w:t>o</w:t>
      </w:r>
      <w:r w:rsidRPr="003E6773">
        <w:rPr>
          <w:rFonts w:ascii="Arial" w:hAnsi="Arial" w:cs="Arial"/>
          <w:bCs/>
          <w:lang w:val="en-CA"/>
        </w:rPr>
        <w:tab/>
        <w:t>In reaching its conclusion the Supreme Court reaffirmed that the Plaintiff’s criminal conduct was irrelevant in analyzing whether a duty of care existed. As found in the Court’s previous judgments, the Court held that a Plaintiff engaging in immoral or illegal conduct is not precluded from successfully claiming against tortfeasors. Such behaviour can, however, form a part of the contributory negligence analysis.</w:t>
      </w:r>
    </w:p>
    <w:p w14:paraId="157FCAB1" w14:textId="51B4808A" w:rsidR="003E6773" w:rsidRPr="003E6773" w:rsidRDefault="00060B3D" w:rsidP="003E6773">
      <w:pPr>
        <w:pStyle w:val="Default"/>
        <w:numPr>
          <w:ilvl w:val="0"/>
          <w:numId w:val="5"/>
        </w:numPr>
        <w:spacing w:after="240"/>
        <w:ind w:left="360"/>
        <w:jc w:val="both"/>
        <w:rPr>
          <w:rStyle w:val="Hyperlink"/>
          <w:rFonts w:ascii="Arial" w:hAnsi="Arial" w:cs="Arial"/>
          <w:b/>
          <w:color w:val="auto"/>
          <w:u w:val="none"/>
          <w:lang w:val="en-CA"/>
        </w:rPr>
      </w:pPr>
      <w:r w:rsidRPr="003E6773">
        <w:rPr>
          <w:rFonts w:ascii="Arial" w:hAnsi="Arial" w:cs="Arial"/>
        </w:rPr>
        <w:t xml:space="preserve">In the decision of </w:t>
      </w:r>
      <w:r w:rsidRPr="00C90492">
        <w:rPr>
          <w:rFonts w:ascii="Arial" w:hAnsi="Arial" w:cs="Arial"/>
          <w:b/>
          <w:bCs/>
          <w:i/>
        </w:rPr>
        <w:t xml:space="preserve">Nelson v. Marchi, </w:t>
      </w:r>
      <w:hyperlink r:id="rId39" w:history="1">
        <w:r w:rsidRPr="00C90492">
          <w:rPr>
            <w:rStyle w:val="Hyperlink"/>
            <w:rFonts w:ascii="Arial" w:hAnsi="Arial" w:cs="Arial"/>
            <w:b/>
            <w:bCs/>
            <w:u w:val="none"/>
          </w:rPr>
          <w:t>2021 SCC 41</w:t>
        </w:r>
      </w:hyperlink>
      <w:r w:rsidR="00B51B8D" w:rsidRPr="003E6773">
        <w:rPr>
          <w:rStyle w:val="Hyperlink"/>
          <w:rFonts w:ascii="Arial" w:hAnsi="Arial" w:cs="Arial"/>
          <w:u w:val="none"/>
        </w:rPr>
        <w:t xml:space="preserve">, </w:t>
      </w:r>
      <w:r w:rsidR="00B51B8D" w:rsidRPr="003E6773">
        <w:rPr>
          <w:rStyle w:val="Hyperlink"/>
          <w:rFonts w:ascii="Arial" w:hAnsi="Arial" w:cs="Arial"/>
          <w:color w:val="000000" w:themeColor="text1"/>
          <w:u w:val="none"/>
        </w:rPr>
        <w:t xml:space="preserve">the </w:t>
      </w:r>
      <w:r w:rsidR="0024755D" w:rsidRPr="003E6773">
        <w:rPr>
          <w:rStyle w:val="Hyperlink"/>
          <w:rFonts w:ascii="Arial" w:hAnsi="Arial" w:cs="Arial"/>
          <w:color w:val="000000" w:themeColor="text1"/>
          <w:u w:val="none"/>
        </w:rPr>
        <w:t>r</w:t>
      </w:r>
      <w:r w:rsidR="00B51B8D" w:rsidRPr="003E6773">
        <w:rPr>
          <w:rStyle w:val="Hyperlink"/>
          <w:rFonts w:ascii="Arial" w:hAnsi="Arial" w:cs="Arial"/>
          <w:color w:val="000000" w:themeColor="text1"/>
          <w:u w:val="none"/>
        </w:rPr>
        <w:t xml:space="preserve">espondent sued the City of Nelson after suffering serious injuries to her leg </w:t>
      </w:r>
      <w:r w:rsidR="00B81B7E" w:rsidRPr="003E6773">
        <w:rPr>
          <w:rStyle w:val="Hyperlink"/>
          <w:rFonts w:ascii="Arial" w:hAnsi="Arial" w:cs="Arial"/>
          <w:color w:val="000000" w:themeColor="text1"/>
          <w:u w:val="none"/>
        </w:rPr>
        <w:t>while</w:t>
      </w:r>
      <w:r w:rsidR="00B51B8D" w:rsidRPr="003E6773">
        <w:rPr>
          <w:rStyle w:val="Hyperlink"/>
          <w:rFonts w:ascii="Arial" w:hAnsi="Arial" w:cs="Arial"/>
          <w:color w:val="000000" w:themeColor="text1"/>
          <w:u w:val="none"/>
        </w:rPr>
        <w:t xml:space="preserve"> walking over a snowbank in the downtown core. City crews had plowed the street, but they had created a snowbank along the curb of the sidewalk</w:t>
      </w:r>
      <w:r w:rsidR="0024755D" w:rsidRPr="003E6773">
        <w:rPr>
          <w:rStyle w:val="Hyperlink"/>
          <w:rFonts w:ascii="Arial" w:hAnsi="Arial" w:cs="Arial"/>
          <w:color w:val="000000" w:themeColor="text1"/>
          <w:u w:val="none"/>
        </w:rPr>
        <w:t xml:space="preserve"> in doing so</w:t>
      </w:r>
      <w:r w:rsidR="00B51B8D" w:rsidRPr="003E6773">
        <w:rPr>
          <w:rStyle w:val="Hyperlink"/>
          <w:rFonts w:ascii="Arial" w:hAnsi="Arial" w:cs="Arial"/>
          <w:color w:val="000000" w:themeColor="text1"/>
          <w:u w:val="none"/>
        </w:rPr>
        <w:t>.</w:t>
      </w:r>
      <w:r w:rsidR="005E56A8" w:rsidRPr="003E6773">
        <w:rPr>
          <w:rStyle w:val="Hyperlink"/>
          <w:rFonts w:ascii="Arial" w:hAnsi="Arial" w:cs="Arial"/>
          <w:color w:val="000000"/>
          <w:u w:val="none"/>
        </w:rPr>
        <w:t xml:space="preserve"> </w:t>
      </w:r>
      <w:r w:rsidR="005E56A8" w:rsidRPr="003E6773">
        <w:rPr>
          <w:rStyle w:val="Hyperlink"/>
          <w:rFonts w:ascii="Arial" w:hAnsi="Arial" w:cs="Arial"/>
          <w:color w:val="000000" w:themeColor="text1"/>
          <w:u w:val="none"/>
        </w:rPr>
        <w:t>T</w:t>
      </w:r>
      <w:r w:rsidR="00FA20F8" w:rsidRPr="003E6773">
        <w:rPr>
          <w:rStyle w:val="Hyperlink"/>
          <w:rFonts w:ascii="Arial" w:hAnsi="Arial" w:cs="Arial"/>
          <w:color w:val="000000" w:themeColor="text1"/>
          <w:u w:val="none"/>
        </w:rPr>
        <w:t>he court found that the City of Nelson owed a duty of care to the plaintiff,</w:t>
      </w:r>
      <w:r w:rsidR="00EA24E6" w:rsidRPr="003E6773">
        <w:rPr>
          <w:rStyle w:val="Hyperlink"/>
          <w:rFonts w:ascii="Arial" w:hAnsi="Arial" w:cs="Arial"/>
          <w:color w:val="000000" w:themeColor="text1"/>
          <w:u w:val="none"/>
        </w:rPr>
        <w:t xml:space="preserve"> </w:t>
      </w:r>
      <w:r w:rsidR="00FA20F8" w:rsidRPr="003E6773">
        <w:rPr>
          <w:rStyle w:val="Hyperlink"/>
          <w:rFonts w:ascii="Arial" w:hAnsi="Arial" w:cs="Arial"/>
          <w:color w:val="000000" w:themeColor="text1"/>
          <w:u w:val="none"/>
        </w:rPr>
        <w:t xml:space="preserve">because </w:t>
      </w:r>
      <w:r w:rsidR="00E9447A" w:rsidRPr="003E6773">
        <w:rPr>
          <w:rStyle w:val="Hyperlink"/>
          <w:rFonts w:ascii="Arial" w:hAnsi="Arial" w:cs="Arial"/>
          <w:color w:val="000000" w:themeColor="text1"/>
          <w:u w:val="none"/>
        </w:rPr>
        <w:t>it was foreseeable that someone could get hurt by a snow pile, and there was proximity between the respondent and the</w:t>
      </w:r>
      <w:r w:rsidR="003E6773">
        <w:rPr>
          <w:rStyle w:val="Hyperlink"/>
          <w:rFonts w:ascii="Arial" w:hAnsi="Arial" w:cs="Arial"/>
          <w:color w:val="000000" w:themeColor="text1"/>
          <w:u w:val="none"/>
        </w:rPr>
        <w:t xml:space="preserve"> </w:t>
      </w:r>
      <w:r w:rsidR="00E9447A" w:rsidRPr="003E6773">
        <w:rPr>
          <w:rStyle w:val="Hyperlink"/>
          <w:rFonts w:ascii="Arial" w:hAnsi="Arial" w:cs="Arial"/>
          <w:color w:val="000000" w:themeColor="text1"/>
          <w:u w:val="none"/>
        </w:rPr>
        <w:t xml:space="preserve">appellant since the </w:t>
      </w:r>
      <w:r w:rsidR="000B4222" w:rsidRPr="003E6773">
        <w:rPr>
          <w:rStyle w:val="Hyperlink"/>
          <w:rFonts w:ascii="Arial" w:hAnsi="Arial" w:cs="Arial"/>
          <w:color w:val="000000" w:themeColor="text1"/>
          <w:u w:val="none"/>
        </w:rPr>
        <w:t>city’s decision was an operational one and not a policy decision</w:t>
      </w:r>
      <w:r w:rsidR="00E9447A" w:rsidRPr="003E6773">
        <w:rPr>
          <w:rStyle w:val="Hyperlink"/>
          <w:rFonts w:ascii="Arial" w:hAnsi="Arial" w:cs="Arial"/>
          <w:color w:val="000000" w:themeColor="text1"/>
          <w:u w:val="none"/>
        </w:rPr>
        <w:t>.</w:t>
      </w:r>
    </w:p>
    <w:p w14:paraId="535DCAA5" w14:textId="73476878" w:rsidR="000B4222" w:rsidRPr="003E6773" w:rsidRDefault="0073301B" w:rsidP="003E6773">
      <w:pPr>
        <w:pStyle w:val="Default"/>
        <w:numPr>
          <w:ilvl w:val="0"/>
          <w:numId w:val="5"/>
        </w:numPr>
        <w:spacing w:after="240"/>
        <w:ind w:left="360"/>
        <w:jc w:val="both"/>
        <w:rPr>
          <w:rStyle w:val="Hyperlink"/>
          <w:rFonts w:ascii="Arial" w:hAnsi="Arial" w:cs="Arial"/>
          <w:b/>
          <w:color w:val="auto"/>
          <w:u w:val="none"/>
          <w:lang w:val="en-CA"/>
        </w:rPr>
      </w:pPr>
      <w:r w:rsidRPr="003E6773">
        <w:rPr>
          <w:rStyle w:val="Hyperlink"/>
          <w:rFonts w:ascii="Arial" w:hAnsi="Arial" w:cs="Arial"/>
          <w:color w:val="000000" w:themeColor="text1"/>
          <w:u w:val="none"/>
        </w:rPr>
        <w:t>The BCSC followed the same line of reasoning but did not find proximity between the plaintiff and the Public Respondents</w:t>
      </w:r>
      <w:r w:rsidR="00E9447A" w:rsidRPr="003E6773">
        <w:rPr>
          <w:rStyle w:val="Hyperlink"/>
          <w:rFonts w:ascii="Arial" w:hAnsi="Arial" w:cs="Arial"/>
          <w:color w:val="000000" w:themeColor="text1"/>
          <w:u w:val="none"/>
        </w:rPr>
        <w:t xml:space="preserve"> i</w:t>
      </w:r>
      <w:r w:rsidR="000B4222" w:rsidRPr="003E6773">
        <w:rPr>
          <w:rStyle w:val="Hyperlink"/>
          <w:rFonts w:ascii="Arial" w:hAnsi="Arial" w:cs="Arial"/>
          <w:color w:val="000000" w:themeColor="text1"/>
          <w:u w:val="none"/>
        </w:rPr>
        <w:t>n</w:t>
      </w:r>
      <w:r w:rsidRPr="003E6773">
        <w:rPr>
          <w:rStyle w:val="Hyperlink"/>
          <w:rFonts w:ascii="Arial" w:hAnsi="Arial" w:cs="Arial"/>
          <w:color w:val="000000" w:themeColor="text1"/>
          <w:u w:val="none"/>
        </w:rPr>
        <w:t xml:space="preserve"> the recent decision of</w:t>
      </w:r>
      <w:r w:rsidR="00E9447A" w:rsidRPr="003E6773">
        <w:rPr>
          <w:rStyle w:val="Hyperlink"/>
          <w:rFonts w:ascii="Arial" w:hAnsi="Arial" w:cs="Arial"/>
          <w:color w:val="000000" w:themeColor="text1"/>
          <w:u w:val="none"/>
        </w:rPr>
        <w:t xml:space="preserve"> </w:t>
      </w:r>
      <w:proofErr w:type="spellStart"/>
      <w:r w:rsidR="000B4222" w:rsidRPr="003E6773">
        <w:rPr>
          <w:rStyle w:val="Hyperlink"/>
          <w:rFonts w:ascii="Arial" w:hAnsi="Arial" w:cs="Arial"/>
          <w:i/>
          <w:iCs/>
          <w:color w:val="000000" w:themeColor="text1"/>
          <w:u w:val="none"/>
        </w:rPr>
        <w:t>Caditz</w:t>
      </w:r>
      <w:proofErr w:type="spellEnd"/>
      <w:r w:rsidR="000B4222" w:rsidRPr="003E6773">
        <w:rPr>
          <w:rStyle w:val="Hyperlink"/>
          <w:rFonts w:ascii="Arial" w:hAnsi="Arial" w:cs="Arial"/>
          <w:i/>
          <w:iCs/>
          <w:color w:val="000000" w:themeColor="text1"/>
          <w:u w:val="none"/>
        </w:rPr>
        <w:t xml:space="preserve"> v. Vancouver (City),</w:t>
      </w:r>
      <w:r w:rsidR="000B4222" w:rsidRPr="003E6773">
        <w:rPr>
          <w:rStyle w:val="Hyperlink"/>
          <w:rFonts w:ascii="Arial" w:hAnsi="Arial" w:cs="Arial"/>
          <w:color w:val="000000" w:themeColor="text1"/>
          <w:u w:val="none"/>
        </w:rPr>
        <w:t xml:space="preserve"> 2024 BCSC 180</w:t>
      </w:r>
      <w:r w:rsidRPr="003E6773">
        <w:rPr>
          <w:rStyle w:val="Hyperlink"/>
          <w:rFonts w:ascii="Arial" w:hAnsi="Arial" w:cs="Arial"/>
          <w:color w:val="000000" w:themeColor="text1"/>
          <w:u w:val="none"/>
        </w:rPr>
        <w:t>7. The plaintiffs pleaded that the tree removal from Stanley Park by the defendants in the latter half of 2023 and the spring of 2024 was so extensive and unnecessary that it caused them harm, and that the defendants are liable to the plaintiffs in negligence for it.</w:t>
      </w:r>
    </w:p>
    <w:p w14:paraId="41FC7AD4" w14:textId="733A0026" w:rsidR="001C3D5C" w:rsidRPr="0019776A" w:rsidRDefault="00100C13" w:rsidP="001C3D5C">
      <w:pPr>
        <w:pStyle w:val="Default"/>
        <w:numPr>
          <w:ilvl w:val="0"/>
          <w:numId w:val="2"/>
        </w:numPr>
        <w:tabs>
          <w:tab w:val="left" w:pos="540"/>
        </w:tabs>
        <w:spacing w:after="200"/>
        <w:ind w:left="360"/>
        <w:jc w:val="both"/>
        <w:rPr>
          <w:rFonts w:ascii="Arial" w:hAnsi="Arial" w:cs="Arial"/>
          <w:b/>
          <w:i/>
          <w:lang w:val="en-CA"/>
        </w:rPr>
      </w:pPr>
      <w:r w:rsidRPr="0019776A">
        <w:rPr>
          <w:rFonts w:ascii="Arial" w:hAnsi="Arial" w:cs="Arial"/>
          <w:b/>
          <w:lang w:val="en-CA"/>
        </w:rPr>
        <w:t>For Discussion</w:t>
      </w:r>
      <w:r w:rsidR="00545533">
        <w:rPr>
          <w:rFonts w:ascii="Arial" w:hAnsi="Arial" w:cs="Arial"/>
          <w:b/>
          <w:lang w:val="en-CA"/>
        </w:rPr>
        <w:t>,</w:t>
      </w:r>
      <w:r w:rsidR="005F0942">
        <w:rPr>
          <w:rFonts w:ascii="Arial" w:hAnsi="Arial" w:cs="Arial"/>
          <w:b/>
          <w:lang w:val="en-CA"/>
        </w:rPr>
        <w:t xml:space="preserve"> re: Duty of Care</w:t>
      </w:r>
      <w:r w:rsidRPr="0019776A">
        <w:rPr>
          <w:rFonts w:ascii="Arial" w:hAnsi="Arial" w:cs="Arial"/>
          <w:b/>
          <w:lang w:val="en-CA"/>
        </w:rPr>
        <w:t xml:space="preserve">: </w:t>
      </w:r>
      <w:r w:rsidRPr="0019776A">
        <w:rPr>
          <w:rFonts w:ascii="Arial" w:hAnsi="Arial" w:cs="Arial"/>
          <w:b/>
          <w:i/>
          <w:lang w:val="en-CA"/>
        </w:rPr>
        <w:t xml:space="preserve">Crawford and Rizos v. </w:t>
      </w:r>
      <w:proofErr w:type="spellStart"/>
      <w:r w:rsidRPr="0019776A">
        <w:rPr>
          <w:rFonts w:ascii="Arial" w:hAnsi="Arial" w:cs="Arial"/>
          <w:b/>
          <w:i/>
          <w:lang w:val="en-CA"/>
        </w:rPr>
        <w:t>Osuteye</w:t>
      </w:r>
      <w:proofErr w:type="spellEnd"/>
      <w:r w:rsidRPr="0019776A">
        <w:rPr>
          <w:rFonts w:ascii="Arial" w:hAnsi="Arial" w:cs="Arial"/>
          <w:b/>
          <w:i/>
          <w:lang w:val="en-CA"/>
        </w:rPr>
        <w:t xml:space="preserve"> et al. </w:t>
      </w:r>
    </w:p>
    <w:p w14:paraId="0E00EE63" w14:textId="77777777" w:rsidR="00C00C38" w:rsidRPr="0019776A" w:rsidRDefault="00100C13" w:rsidP="001C3D5C">
      <w:pPr>
        <w:pStyle w:val="Default"/>
        <w:spacing w:after="200"/>
        <w:ind w:left="936" w:hanging="576"/>
        <w:rPr>
          <w:rStyle w:val="Hyperlink"/>
          <w:rFonts w:ascii="Arial" w:hAnsi="Arial" w:cs="Arial"/>
          <w:lang w:val="en-CA"/>
        </w:rPr>
      </w:pPr>
      <w:r w:rsidRPr="0019776A">
        <w:rPr>
          <w:rFonts w:ascii="Arial" w:hAnsi="Arial" w:cs="Arial"/>
          <w:b/>
          <w:lang w:val="en-CA"/>
        </w:rPr>
        <w:t>See:</w:t>
      </w:r>
      <w:r w:rsidR="001C3D5C" w:rsidRPr="0019776A">
        <w:rPr>
          <w:rFonts w:ascii="Arial" w:hAnsi="Arial" w:cs="Arial"/>
          <w:b/>
          <w:lang w:val="en-CA"/>
        </w:rPr>
        <w:t xml:space="preserve"> </w:t>
      </w:r>
      <w:hyperlink r:id="rId40" w:history="1">
        <w:r w:rsidRPr="0019776A">
          <w:rPr>
            <w:rStyle w:val="Hyperlink"/>
            <w:rFonts w:ascii="Arial" w:hAnsi="Arial" w:cs="Arial"/>
            <w:lang w:val="en-CA"/>
          </w:rPr>
          <w:t>https://www.cbc.ca/news/canada/british-columbia/attacked-b-c-senior-sues-hospital-over-suspect-release-1.1991137</w:t>
        </w:r>
      </w:hyperlink>
    </w:p>
    <w:p w14:paraId="54C5F77F" w14:textId="77777777" w:rsidR="001C3D5C" w:rsidRPr="0019776A" w:rsidRDefault="001C3D5C" w:rsidP="001C3D5C">
      <w:pPr>
        <w:pStyle w:val="Default"/>
        <w:spacing w:after="200"/>
        <w:ind w:left="1354" w:hanging="634"/>
        <w:contextualSpacing/>
        <w:jc w:val="both"/>
        <w:rPr>
          <w:rFonts w:ascii="Arial" w:hAnsi="Arial" w:cs="Arial"/>
          <w:b/>
          <w:lang w:val="en-CA"/>
        </w:rPr>
      </w:pPr>
    </w:p>
    <w:p w14:paraId="49B4B16E" w14:textId="77777777" w:rsidR="001819E3" w:rsidRPr="0019776A" w:rsidRDefault="001819E3" w:rsidP="001819E3">
      <w:pPr>
        <w:pStyle w:val="Default"/>
        <w:spacing w:after="200"/>
        <w:jc w:val="both"/>
        <w:rPr>
          <w:rFonts w:ascii="Arial" w:hAnsi="Arial" w:cs="Arial"/>
          <w:b/>
          <w:lang w:val="en-CA"/>
        </w:rPr>
      </w:pPr>
      <w:r w:rsidRPr="0019776A">
        <w:rPr>
          <w:rFonts w:ascii="Arial" w:hAnsi="Arial" w:cs="Arial"/>
          <w:b/>
          <w:lang w:val="en-CA"/>
        </w:rPr>
        <w:t>1.4 Second Element: Breach of the st</w:t>
      </w:r>
      <w:r w:rsidR="00C00C38" w:rsidRPr="0019776A">
        <w:rPr>
          <w:rFonts w:ascii="Arial" w:hAnsi="Arial" w:cs="Arial"/>
          <w:b/>
          <w:lang w:val="en-CA"/>
        </w:rPr>
        <w:t>andard of care</w:t>
      </w:r>
    </w:p>
    <w:p w14:paraId="3407B130" w14:textId="77777777" w:rsidR="00C00C38" w:rsidRPr="0019776A" w:rsidRDefault="00C00C38" w:rsidP="00DE5BDE">
      <w:pPr>
        <w:pStyle w:val="ListParagraph"/>
        <w:numPr>
          <w:ilvl w:val="0"/>
          <w:numId w:val="6"/>
        </w:numPr>
        <w:spacing w:line="276" w:lineRule="auto"/>
        <w:jc w:val="both"/>
        <w:rPr>
          <w:rFonts w:ascii="Arial" w:hAnsi="Arial" w:cs="Arial"/>
          <w:sz w:val="24"/>
          <w:lang w:val="en-CA"/>
        </w:rPr>
      </w:pPr>
      <w:r w:rsidRPr="0019776A">
        <w:rPr>
          <w:rFonts w:ascii="Arial" w:hAnsi="Arial" w:cs="Arial"/>
          <w:sz w:val="24"/>
          <w:lang w:val="en-CA"/>
        </w:rPr>
        <w:t>Negligence refers to conduct that falls below the standard required by society.  Generally, conduct is considered negligent if it creates an unreasonable risk of harm.  For example, driving through a red light without stopping and colliding with another vehicle, rear-ending another vehicle, and driving on the wrong side of the road and causing a collision are all instances where the driver has breached the standard of care.</w:t>
      </w:r>
    </w:p>
    <w:p w14:paraId="26254B51" w14:textId="77777777" w:rsidR="00C00C38" w:rsidRPr="0019776A" w:rsidRDefault="00C00C38" w:rsidP="00C00C38">
      <w:pPr>
        <w:pStyle w:val="ListParagraph"/>
        <w:ind w:left="360"/>
        <w:jc w:val="both"/>
        <w:rPr>
          <w:rFonts w:ascii="Arial" w:hAnsi="Arial" w:cs="Arial"/>
          <w:sz w:val="24"/>
          <w:lang w:val="en-CA"/>
        </w:rPr>
      </w:pPr>
    </w:p>
    <w:p w14:paraId="14281220" w14:textId="0FB95073" w:rsidR="00A31AA5" w:rsidRDefault="00A31AA5" w:rsidP="00652F6F">
      <w:pPr>
        <w:pStyle w:val="ListParagraph"/>
        <w:numPr>
          <w:ilvl w:val="0"/>
          <w:numId w:val="6"/>
        </w:numPr>
        <w:spacing w:line="276" w:lineRule="auto"/>
        <w:jc w:val="both"/>
        <w:rPr>
          <w:rFonts w:ascii="Arial" w:hAnsi="Arial" w:cs="Arial"/>
          <w:sz w:val="24"/>
          <w:lang w:val="en-CA"/>
        </w:rPr>
      </w:pPr>
      <w:r>
        <w:rPr>
          <w:rFonts w:ascii="Arial" w:hAnsi="Arial" w:cs="Arial"/>
          <w:sz w:val="24"/>
          <w:lang w:val="en-CA"/>
        </w:rPr>
        <w:t xml:space="preserve">As stated by the Supreme Court of Canada in </w:t>
      </w:r>
      <w:r w:rsidR="00652F6F" w:rsidRPr="00652F6F">
        <w:rPr>
          <w:rFonts w:ascii="Arial" w:hAnsi="Arial" w:cs="Arial"/>
          <w:i/>
          <w:sz w:val="24"/>
          <w:lang w:val="en-CA"/>
        </w:rPr>
        <w:t>Hill v. Hamilton-Wentworth Regional Police Services Board</w:t>
      </w:r>
      <w:r w:rsidR="00652F6F" w:rsidRPr="00652F6F">
        <w:rPr>
          <w:rFonts w:ascii="Arial" w:hAnsi="Arial" w:cs="Arial"/>
          <w:sz w:val="24"/>
          <w:lang w:val="en-CA"/>
        </w:rPr>
        <w:t xml:space="preserve">, </w:t>
      </w:r>
      <w:hyperlink r:id="rId41" w:history="1">
        <w:r w:rsidR="00652F6F" w:rsidRPr="00652F6F">
          <w:rPr>
            <w:rStyle w:val="Hyperlink"/>
            <w:rFonts w:ascii="Arial" w:hAnsi="Arial" w:cs="Arial"/>
            <w:sz w:val="24"/>
            <w:u w:val="none"/>
            <w:lang w:val="en-CA"/>
          </w:rPr>
          <w:t>2007 SCC 41</w:t>
        </w:r>
      </w:hyperlink>
      <w:r w:rsidR="00652F6F">
        <w:rPr>
          <w:rFonts w:ascii="Arial" w:hAnsi="Arial" w:cs="Arial"/>
          <w:sz w:val="24"/>
          <w:lang w:val="en-CA"/>
        </w:rPr>
        <w:t xml:space="preserve"> at para. 69:</w:t>
      </w:r>
    </w:p>
    <w:p w14:paraId="356724A7" w14:textId="77777777" w:rsidR="00652F6F" w:rsidRPr="00652F6F" w:rsidRDefault="00652F6F" w:rsidP="00652F6F">
      <w:pPr>
        <w:pStyle w:val="ListParagraph"/>
        <w:rPr>
          <w:rFonts w:ascii="Arial" w:hAnsi="Arial" w:cs="Arial"/>
          <w:sz w:val="24"/>
          <w:lang w:val="en-CA"/>
        </w:rPr>
      </w:pPr>
    </w:p>
    <w:p w14:paraId="2613C25C" w14:textId="471E9E24" w:rsidR="00652F6F" w:rsidRPr="00652F6F" w:rsidRDefault="00652F6F" w:rsidP="00652F6F">
      <w:pPr>
        <w:spacing w:line="276" w:lineRule="auto"/>
        <w:ind w:left="720" w:right="720"/>
        <w:jc w:val="both"/>
        <w:rPr>
          <w:rFonts w:ascii="Arial" w:hAnsi="Arial" w:cs="Arial"/>
          <w:i/>
          <w:lang w:val="en-CA"/>
        </w:rPr>
      </w:pPr>
      <w:r>
        <w:rPr>
          <w:rFonts w:ascii="Arial" w:hAnsi="Arial" w:cs="Arial"/>
          <w:i/>
          <w:lang w:val="en-CA"/>
        </w:rPr>
        <w:t xml:space="preserve">… </w:t>
      </w:r>
      <w:r w:rsidRPr="00652F6F">
        <w:rPr>
          <w:rFonts w:ascii="Arial" w:hAnsi="Arial" w:cs="Arial"/>
          <w:i/>
          <w:lang w:val="en-CA"/>
        </w:rPr>
        <w:t>the general rule is that the standard of care in negligence is that of the reasonable person in similar circumstances. In cases of professional negligence, this rule is qualified by an additional principle: where the defendant has special skills and experience, the defendant must "live up to the standards possessed by persons of reasonable skill and experience in that calling". (See L. N. Klar, Tort Law (3rd ed. 2003), at p. 306.)</w:t>
      </w:r>
      <w:r>
        <w:rPr>
          <w:rFonts w:ascii="Arial" w:hAnsi="Arial" w:cs="Arial"/>
          <w:i/>
          <w:lang w:val="en-CA"/>
        </w:rPr>
        <w:t xml:space="preserve"> … </w:t>
      </w:r>
    </w:p>
    <w:p w14:paraId="5F1406B5" w14:textId="77777777" w:rsidR="00652F6F" w:rsidRPr="00652F6F" w:rsidRDefault="00652F6F" w:rsidP="00652F6F">
      <w:pPr>
        <w:spacing w:line="276" w:lineRule="auto"/>
        <w:jc w:val="both"/>
        <w:rPr>
          <w:rFonts w:ascii="Arial" w:hAnsi="Arial" w:cs="Arial"/>
          <w:sz w:val="24"/>
          <w:lang w:val="en-CA"/>
        </w:rPr>
      </w:pPr>
    </w:p>
    <w:p w14:paraId="7FC723D6" w14:textId="73BF7CEA" w:rsidR="00C00C38" w:rsidRPr="0019776A" w:rsidRDefault="00C00C38" w:rsidP="00DE5BDE">
      <w:pPr>
        <w:pStyle w:val="ListParagraph"/>
        <w:numPr>
          <w:ilvl w:val="0"/>
          <w:numId w:val="6"/>
        </w:numPr>
        <w:spacing w:line="276" w:lineRule="auto"/>
        <w:jc w:val="both"/>
        <w:rPr>
          <w:rFonts w:ascii="Arial" w:hAnsi="Arial" w:cs="Arial"/>
          <w:sz w:val="24"/>
          <w:lang w:val="en-CA"/>
        </w:rPr>
      </w:pPr>
      <w:r w:rsidRPr="0019776A">
        <w:rPr>
          <w:rFonts w:ascii="Arial" w:hAnsi="Arial" w:cs="Arial"/>
          <w:sz w:val="24"/>
          <w:lang w:val="en-CA"/>
        </w:rPr>
        <w:t>How do we prove whether an individual has breached the standard of care:</w:t>
      </w:r>
    </w:p>
    <w:p w14:paraId="15B6B88A" w14:textId="77777777" w:rsidR="00C00C38" w:rsidRPr="0019776A" w:rsidRDefault="00C00C38" w:rsidP="00C00C38">
      <w:pPr>
        <w:pStyle w:val="ListParagraph"/>
        <w:ind w:left="360"/>
        <w:jc w:val="both"/>
        <w:rPr>
          <w:rFonts w:ascii="Arial" w:hAnsi="Arial" w:cs="Arial"/>
          <w:sz w:val="24"/>
          <w:lang w:val="en-CA"/>
        </w:rPr>
      </w:pPr>
    </w:p>
    <w:p w14:paraId="1DD239E9" w14:textId="77777777" w:rsidR="000E17E7" w:rsidRPr="0019776A" w:rsidRDefault="00C00C38" w:rsidP="000E17E7">
      <w:pPr>
        <w:pStyle w:val="ListParagraph"/>
        <w:numPr>
          <w:ilvl w:val="1"/>
          <w:numId w:val="6"/>
        </w:numPr>
        <w:spacing w:after="240" w:line="276" w:lineRule="auto"/>
        <w:ind w:left="720"/>
        <w:contextualSpacing w:val="0"/>
        <w:jc w:val="both"/>
        <w:rPr>
          <w:rFonts w:ascii="Arial" w:hAnsi="Arial" w:cs="Arial"/>
          <w:sz w:val="24"/>
          <w:lang w:val="en-CA"/>
        </w:rPr>
      </w:pPr>
      <w:r w:rsidRPr="0019776A">
        <w:rPr>
          <w:rFonts w:ascii="Arial" w:hAnsi="Arial" w:cs="Arial"/>
          <w:sz w:val="24"/>
          <w:lang w:val="en-CA"/>
        </w:rPr>
        <w:t xml:space="preserve">Industry practices and regulatory standards.  </w:t>
      </w:r>
    </w:p>
    <w:p w14:paraId="250466D4" w14:textId="509E0E13" w:rsidR="00C00C38" w:rsidRPr="0019776A" w:rsidRDefault="00C00C38" w:rsidP="000E17E7">
      <w:pPr>
        <w:pStyle w:val="ListParagraph"/>
        <w:numPr>
          <w:ilvl w:val="2"/>
          <w:numId w:val="6"/>
        </w:numPr>
        <w:spacing w:line="276" w:lineRule="auto"/>
        <w:jc w:val="both"/>
        <w:rPr>
          <w:rFonts w:ascii="Arial" w:hAnsi="Arial" w:cs="Arial"/>
          <w:sz w:val="24"/>
          <w:lang w:val="en-CA"/>
        </w:rPr>
      </w:pPr>
      <w:r w:rsidRPr="0019776A">
        <w:rPr>
          <w:rFonts w:ascii="Arial" w:hAnsi="Arial" w:cs="Arial"/>
          <w:sz w:val="24"/>
          <w:lang w:val="en-CA"/>
        </w:rPr>
        <w:t xml:space="preserve">Note that that trade/professional customs are </w:t>
      </w:r>
      <w:r w:rsidRPr="0019776A">
        <w:rPr>
          <w:rFonts w:ascii="Arial" w:hAnsi="Arial" w:cs="Arial"/>
          <w:i/>
          <w:sz w:val="24"/>
          <w:lang w:val="en-CA"/>
        </w:rPr>
        <w:t>prima facie</w:t>
      </w:r>
      <w:r w:rsidRPr="0019776A">
        <w:rPr>
          <w:rFonts w:ascii="Arial" w:hAnsi="Arial" w:cs="Arial"/>
          <w:sz w:val="24"/>
          <w:lang w:val="en-CA"/>
        </w:rPr>
        <w:t xml:space="preserve"> proof of the standard of care and there is accordingly a heavy burden on the plaintiff to show that a defendant who has followed standards set by government or ind</w:t>
      </w:r>
      <w:r w:rsidR="00AC35C2">
        <w:rPr>
          <w:rFonts w:ascii="Arial" w:hAnsi="Arial" w:cs="Arial"/>
          <w:sz w:val="24"/>
          <w:lang w:val="en-CA"/>
        </w:rPr>
        <w:t xml:space="preserve">ustry is nonetheless negligent. </w:t>
      </w:r>
      <w:r w:rsidRPr="0019776A">
        <w:rPr>
          <w:rFonts w:ascii="Arial" w:hAnsi="Arial" w:cs="Arial"/>
          <w:sz w:val="24"/>
          <w:lang w:val="en-CA"/>
        </w:rPr>
        <w:t xml:space="preserve">However, while industry and regulatory standards may be a useful benchmark in determining the standard of care, simply because a defendant adheres to an industry code or regulatory standard will not necessarily be proof that it has met the standard of care.   Rather, Canadian courts will evaluate the code or standard to determine whether, considering all of the circumstances, it reflects the appropriate standard of care. This will largely be a question of fact determined by the trier of fact. </w:t>
      </w:r>
    </w:p>
    <w:p w14:paraId="34E99BEC" w14:textId="77777777" w:rsidR="00C00C38" w:rsidRPr="0019776A" w:rsidRDefault="00C00C38" w:rsidP="00C00C38">
      <w:pPr>
        <w:pStyle w:val="ListParagraph"/>
        <w:ind w:left="360"/>
        <w:jc w:val="both"/>
        <w:rPr>
          <w:rFonts w:ascii="Arial" w:hAnsi="Arial" w:cs="Arial"/>
          <w:sz w:val="24"/>
          <w:lang w:val="en-CA"/>
        </w:rPr>
      </w:pPr>
    </w:p>
    <w:p w14:paraId="010F7C76" w14:textId="77777777" w:rsidR="00C00C38" w:rsidRPr="0019776A" w:rsidRDefault="00C00C38" w:rsidP="00DE5BDE">
      <w:pPr>
        <w:pStyle w:val="ListParagraph"/>
        <w:numPr>
          <w:ilvl w:val="1"/>
          <w:numId w:val="6"/>
        </w:numPr>
        <w:spacing w:line="276" w:lineRule="auto"/>
        <w:ind w:left="720"/>
        <w:jc w:val="both"/>
        <w:rPr>
          <w:rFonts w:ascii="Arial" w:hAnsi="Arial" w:cs="Arial"/>
          <w:sz w:val="24"/>
          <w:lang w:val="en-CA"/>
        </w:rPr>
      </w:pPr>
      <w:r w:rsidRPr="0019776A">
        <w:rPr>
          <w:rFonts w:ascii="Arial" w:hAnsi="Arial" w:cs="Arial"/>
          <w:sz w:val="24"/>
          <w:lang w:val="en-CA"/>
        </w:rPr>
        <w:t>Professional codes of conduct.</w:t>
      </w:r>
    </w:p>
    <w:p w14:paraId="4A267888" w14:textId="77777777" w:rsidR="00C00C38" w:rsidRPr="0019776A" w:rsidRDefault="00C00C38" w:rsidP="00C00C38">
      <w:pPr>
        <w:pStyle w:val="ListParagraph"/>
        <w:ind w:left="360"/>
        <w:jc w:val="both"/>
        <w:rPr>
          <w:rFonts w:ascii="Arial" w:hAnsi="Arial" w:cs="Arial"/>
          <w:sz w:val="24"/>
          <w:lang w:val="en-CA"/>
        </w:rPr>
      </w:pPr>
    </w:p>
    <w:p w14:paraId="40EAE60E" w14:textId="77777777" w:rsidR="00C00C38" w:rsidRPr="0019776A" w:rsidRDefault="00C00C38" w:rsidP="00DE5BDE">
      <w:pPr>
        <w:pStyle w:val="ListParagraph"/>
        <w:numPr>
          <w:ilvl w:val="1"/>
          <w:numId w:val="6"/>
        </w:numPr>
        <w:spacing w:line="276" w:lineRule="auto"/>
        <w:ind w:left="720"/>
        <w:jc w:val="both"/>
        <w:rPr>
          <w:rFonts w:ascii="Arial" w:hAnsi="Arial" w:cs="Arial"/>
          <w:sz w:val="24"/>
          <w:lang w:val="en-CA"/>
        </w:rPr>
      </w:pPr>
      <w:r w:rsidRPr="0019776A">
        <w:rPr>
          <w:rFonts w:ascii="Arial" w:hAnsi="Arial" w:cs="Arial"/>
          <w:sz w:val="24"/>
          <w:lang w:val="en-CA"/>
        </w:rPr>
        <w:t>The defendant’s own policies, procedures and protocols (and whether these have been followed).</w:t>
      </w:r>
    </w:p>
    <w:p w14:paraId="0E887491" w14:textId="77777777" w:rsidR="00C00C38" w:rsidRPr="0019776A" w:rsidRDefault="00C00C38" w:rsidP="00C00C38">
      <w:pPr>
        <w:pStyle w:val="ListParagraph"/>
        <w:ind w:left="360"/>
        <w:jc w:val="both"/>
        <w:rPr>
          <w:rFonts w:ascii="Arial" w:hAnsi="Arial" w:cs="Arial"/>
          <w:sz w:val="24"/>
          <w:lang w:val="en-CA"/>
        </w:rPr>
      </w:pPr>
    </w:p>
    <w:p w14:paraId="23EC8B1C" w14:textId="77777777" w:rsidR="00C00C38" w:rsidRPr="0019776A" w:rsidRDefault="00C00C38" w:rsidP="00DE5BDE">
      <w:pPr>
        <w:pStyle w:val="ListParagraph"/>
        <w:numPr>
          <w:ilvl w:val="1"/>
          <w:numId w:val="6"/>
        </w:numPr>
        <w:spacing w:line="276" w:lineRule="auto"/>
        <w:ind w:left="720"/>
        <w:jc w:val="both"/>
        <w:rPr>
          <w:rFonts w:ascii="Arial" w:hAnsi="Arial" w:cs="Arial"/>
          <w:sz w:val="24"/>
          <w:lang w:val="en-CA"/>
        </w:rPr>
      </w:pPr>
      <w:r w:rsidRPr="0019776A">
        <w:rPr>
          <w:rFonts w:ascii="Arial" w:hAnsi="Arial" w:cs="Arial"/>
          <w:sz w:val="24"/>
          <w:lang w:val="en-CA"/>
        </w:rPr>
        <w:t>Criminal code.</w:t>
      </w:r>
    </w:p>
    <w:p w14:paraId="44A17FFF" w14:textId="77777777" w:rsidR="00C00C38" w:rsidRPr="0019776A" w:rsidRDefault="00C00C38" w:rsidP="00C00C38">
      <w:pPr>
        <w:pStyle w:val="ListParagraph"/>
        <w:rPr>
          <w:rFonts w:ascii="Arial" w:hAnsi="Arial" w:cs="Arial"/>
          <w:sz w:val="24"/>
          <w:lang w:val="en-CA"/>
        </w:rPr>
      </w:pPr>
    </w:p>
    <w:p w14:paraId="02B836C7" w14:textId="77777777" w:rsidR="00C00C38" w:rsidRPr="0019776A" w:rsidRDefault="00C00C38" w:rsidP="00DE5BDE">
      <w:pPr>
        <w:pStyle w:val="ListParagraph"/>
        <w:numPr>
          <w:ilvl w:val="1"/>
          <w:numId w:val="6"/>
        </w:numPr>
        <w:spacing w:line="276" w:lineRule="auto"/>
        <w:ind w:left="720"/>
        <w:jc w:val="both"/>
        <w:rPr>
          <w:rFonts w:ascii="Arial" w:hAnsi="Arial" w:cs="Arial"/>
          <w:sz w:val="24"/>
          <w:lang w:val="en-CA"/>
        </w:rPr>
      </w:pPr>
      <w:r w:rsidRPr="0019776A">
        <w:rPr>
          <w:rFonts w:ascii="Arial" w:hAnsi="Arial" w:cs="Arial"/>
          <w:sz w:val="24"/>
          <w:lang w:val="en-CA"/>
        </w:rPr>
        <w:t>Statutory obligations and the common law that interprets those statutes</w:t>
      </w:r>
      <w:r w:rsidR="000E17E7" w:rsidRPr="0019776A">
        <w:rPr>
          <w:rFonts w:ascii="Arial" w:hAnsi="Arial" w:cs="Arial"/>
          <w:sz w:val="24"/>
          <w:lang w:val="en-CA"/>
        </w:rPr>
        <w:t xml:space="preserve">, for example, the </w:t>
      </w:r>
      <w:r w:rsidR="000E17E7" w:rsidRPr="0019776A">
        <w:rPr>
          <w:rFonts w:ascii="Arial" w:hAnsi="Arial" w:cs="Arial"/>
          <w:i/>
          <w:sz w:val="24"/>
          <w:lang w:val="en-CA"/>
        </w:rPr>
        <w:t>Motor Vehicle Act</w:t>
      </w:r>
      <w:r w:rsidR="000E17E7" w:rsidRPr="0019776A">
        <w:rPr>
          <w:rFonts w:ascii="Arial" w:hAnsi="Arial" w:cs="Arial"/>
          <w:sz w:val="24"/>
          <w:lang w:val="en-CA"/>
        </w:rPr>
        <w:t xml:space="preserve"> in BC.</w:t>
      </w:r>
    </w:p>
    <w:p w14:paraId="701A1B4D" w14:textId="77777777" w:rsidR="00C00C38" w:rsidRPr="0019776A" w:rsidRDefault="00C00C38" w:rsidP="00C00C38">
      <w:pPr>
        <w:spacing w:line="276" w:lineRule="auto"/>
        <w:jc w:val="both"/>
        <w:rPr>
          <w:rFonts w:ascii="Arial" w:hAnsi="Arial" w:cs="Arial"/>
          <w:sz w:val="24"/>
          <w:lang w:val="en-CA"/>
        </w:rPr>
      </w:pPr>
    </w:p>
    <w:p w14:paraId="34963CDB" w14:textId="77777777" w:rsidR="00C00C38" w:rsidRPr="0019776A" w:rsidRDefault="00C00C38" w:rsidP="009324D8">
      <w:pPr>
        <w:keepNext/>
        <w:keepLines/>
        <w:spacing w:after="360" w:line="276" w:lineRule="auto"/>
        <w:ind w:left="360"/>
        <w:jc w:val="both"/>
        <w:rPr>
          <w:rFonts w:ascii="Arial" w:hAnsi="Arial" w:cs="Arial"/>
          <w:b/>
          <w:i/>
          <w:sz w:val="24"/>
          <w:lang w:val="en-CA"/>
        </w:rPr>
      </w:pPr>
      <w:r w:rsidRPr="0019776A">
        <w:rPr>
          <w:rFonts w:ascii="Arial" w:hAnsi="Arial" w:cs="Arial"/>
          <w:b/>
          <w:sz w:val="24"/>
          <w:lang w:val="en-CA"/>
        </w:rPr>
        <w:t xml:space="preserve">1.4.1 The </w:t>
      </w:r>
      <w:r w:rsidRPr="0019776A">
        <w:rPr>
          <w:rFonts w:ascii="Arial" w:hAnsi="Arial" w:cs="Arial"/>
          <w:b/>
          <w:i/>
          <w:sz w:val="24"/>
          <w:lang w:val="en-CA"/>
        </w:rPr>
        <w:t>Motor Vehicle Act</w:t>
      </w:r>
    </w:p>
    <w:p w14:paraId="02A96CE9" w14:textId="2A637C8F" w:rsidR="00C00C38" w:rsidRPr="0019776A" w:rsidRDefault="00C00C38" w:rsidP="00DE5BDE">
      <w:pPr>
        <w:pStyle w:val="ListParagraph"/>
        <w:numPr>
          <w:ilvl w:val="0"/>
          <w:numId w:val="7"/>
        </w:numPr>
        <w:spacing w:line="276" w:lineRule="auto"/>
        <w:jc w:val="both"/>
        <w:rPr>
          <w:rFonts w:ascii="Arial" w:hAnsi="Arial" w:cs="Arial"/>
          <w:sz w:val="24"/>
          <w:lang w:val="en-CA"/>
        </w:rPr>
      </w:pPr>
      <w:r w:rsidRPr="0019776A">
        <w:rPr>
          <w:rFonts w:ascii="Arial" w:hAnsi="Arial" w:cs="Arial"/>
          <w:sz w:val="24"/>
          <w:lang w:val="en-CA"/>
        </w:rPr>
        <w:t>Each province has legislation governing the safe operation of motor vehicles.  In B.C., regulating drivers is the mandate of the Office of the Superintendent of Motor Vehicles (OSMV). OSMV develops BC road laws and policies (the rules of the road) to make travelling safe for drivers, passengers, pedestrians, cyclists and other road users alike.</w:t>
      </w:r>
    </w:p>
    <w:p w14:paraId="38C3E7D5" w14:textId="77777777" w:rsidR="00C00C38" w:rsidRPr="0019776A" w:rsidRDefault="00C00C38" w:rsidP="00C00C38">
      <w:pPr>
        <w:pStyle w:val="ListParagraph"/>
        <w:ind w:left="360"/>
        <w:jc w:val="both"/>
        <w:rPr>
          <w:rFonts w:ascii="Arial" w:hAnsi="Arial" w:cs="Arial"/>
          <w:sz w:val="24"/>
          <w:lang w:val="en-CA"/>
        </w:rPr>
      </w:pPr>
    </w:p>
    <w:p w14:paraId="4EA1B145" w14:textId="7220CF78" w:rsidR="00C00C38" w:rsidRPr="005708A2" w:rsidRDefault="00C00C38" w:rsidP="00060B3D">
      <w:pPr>
        <w:pStyle w:val="ListParagraph"/>
        <w:numPr>
          <w:ilvl w:val="0"/>
          <w:numId w:val="7"/>
        </w:numPr>
        <w:spacing w:line="276" w:lineRule="auto"/>
        <w:jc w:val="both"/>
        <w:rPr>
          <w:rFonts w:ascii="Arial" w:hAnsi="Arial" w:cs="Arial"/>
          <w:sz w:val="24"/>
          <w:lang w:val="en-CA"/>
        </w:rPr>
      </w:pPr>
      <w:r w:rsidRPr="005708A2">
        <w:rPr>
          <w:rFonts w:ascii="Arial" w:hAnsi="Arial" w:cs="Arial"/>
          <w:sz w:val="24"/>
          <w:lang w:val="en-CA"/>
        </w:rPr>
        <w:t xml:space="preserve">The </w:t>
      </w:r>
      <w:hyperlink r:id="rId42" w:history="1">
        <w:r w:rsidRPr="005708A2">
          <w:rPr>
            <w:rStyle w:val="Hyperlink"/>
            <w:rFonts w:ascii="Arial" w:hAnsi="Arial" w:cs="Arial"/>
            <w:i/>
            <w:sz w:val="24"/>
            <w:u w:val="none"/>
            <w:lang w:val="en-CA"/>
          </w:rPr>
          <w:t>Motor Vehicle Act</w:t>
        </w:r>
        <w:r w:rsidR="000E17E7" w:rsidRPr="005708A2">
          <w:rPr>
            <w:rStyle w:val="Hyperlink"/>
            <w:rFonts w:ascii="Arial" w:hAnsi="Arial" w:cs="Arial"/>
            <w:i/>
            <w:sz w:val="24"/>
            <w:u w:val="none"/>
            <w:lang w:val="en-CA"/>
          </w:rPr>
          <w:t>,</w:t>
        </w:r>
        <w:r w:rsidRPr="005708A2">
          <w:rPr>
            <w:rStyle w:val="Hyperlink"/>
            <w:rFonts w:ascii="Arial" w:hAnsi="Arial" w:cs="Arial"/>
            <w:sz w:val="24"/>
            <w:u w:val="none"/>
            <w:lang w:val="en-CA"/>
          </w:rPr>
          <w:t xml:space="preserve"> RSBC 1996 c. 318</w:t>
        </w:r>
      </w:hyperlink>
      <w:r w:rsidRPr="005708A2">
        <w:rPr>
          <w:rFonts w:ascii="Arial" w:hAnsi="Arial" w:cs="Arial"/>
          <w:sz w:val="24"/>
          <w:lang w:val="en-CA"/>
        </w:rPr>
        <w:t xml:space="preserve"> defines </w:t>
      </w:r>
      <w:r w:rsidR="000E17E7" w:rsidRPr="005708A2">
        <w:rPr>
          <w:rFonts w:ascii="Arial" w:hAnsi="Arial" w:cs="Arial"/>
          <w:sz w:val="24"/>
          <w:lang w:val="en-CA"/>
        </w:rPr>
        <w:t xml:space="preserve">the law that governs </w:t>
      </w:r>
      <w:r w:rsidRPr="005708A2">
        <w:rPr>
          <w:rFonts w:ascii="Arial" w:hAnsi="Arial" w:cs="Arial"/>
          <w:sz w:val="24"/>
          <w:lang w:val="en-CA"/>
        </w:rPr>
        <w:t>the operation of motor vehicles on BC roads – defining the rules of the road and rel</w:t>
      </w:r>
      <w:r w:rsidR="005708A2">
        <w:rPr>
          <w:rFonts w:ascii="Arial" w:hAnsi="Arial" w:cs="Arial"/>
          <w:sz w:val="24"/>
          <w:lang w:val="en-CA"/>
        </w:rPr>
        <w:t xml:space="preserve">ated offences and infractions. </w:t>
      </w:r>
      <w:r w:rsidRPr="005708A2">
        <w:rPr>
          <w:rFonts w:ascii="Arial" w:hAnsi="Arial" w:cs="Arial"/>
          <w:sz w:val="24"/>
          <w:lang w:val="en-CA"/>
        </w:rPr>
        <w:t xml:space="preserve">In addition, the </w:t>
      </w:r>
      <w:r w:rsidRPr="005708A2">
        <w:rPr>
          <w:rFonts w:ascii="Arial" w:hAnsi="Arial" w:cs="Arial"/>
          <w:i/>
          <w:sz w:val="24"/>
          <w:lang w:val="en-CA"/>
        </w:rPr>
        <w:t>Criminal Code of Canada</w:t>
      </w:r>
      <w:r w:rsidRPr="005708A2">
        <w:rPr>
          <w:rFonts w:ascii="Arial" w:hAnsi="Arial" w:cs="Arial"/>
          <w:sz w:val="24"/>
          <w:lang w:val="en-CA"/>
        </w:rPr>
        <w:t xml:space="preserve"> defines criminal motor vehicle offences. The police enforce road laws by ticketing drivers for traffic violations, issuing sanctions for disobeying the rules (driving bans)</w:t>
      </w:r>
      <w:r w:rsidR="000E17E7" w:rsidRPr="005708A2">
        <w:rPr>
          <w:rFonts w:ascii="Arial" w:hAnsi="Arial" w:cs="Arial"/>
          <w:sz w:val="24"/>
          <w:lang w:val="en-CA"/>
        </w:rPr>
        <w:t>,</w:t>
      </w:r>
      <w:r w:rsidRPr="005708A2">
        <w:rPr>
          <w:rFonts w:ascii="Arial" w:hAnsi="Arial" w:cs="Arial"/>
          <w:sz w:val="24"/>
          <w:lang w:val="en-CA"/>
        </w:rPr>
        <w:t xml:space="preserve"> and/or laying criminal charges.</w:t>
      </w:r>
      <w:r w:rsidR="005D74EB" w:rsidRPr="005D74EB">
        <w:t xml:space="preserve"> </w:t>
      </w:r>
    </w:p>
    <w:p w14:paraId="2C1A7B36" w14:textId="77777777" w:rsidR="00C00C38" w:rsidRPr="0019776A" w:rsidRDefault="00C00C38" w:rsidP="00C00C38">
      <w:pPr>
        <w:jc w:val="both"/>
        <w:rPr>
          <w:rFonts w:ascii="Arial" w:hAnsi="Arial" w:cs="Arial"/>
          <w:sz w:val="24"/>
          <w:lang w:val="en-CA"/>
        </w:rPr>
      </w:pPr>
    </w:p>
    <w:p w14:paraId="0EF5839D" w14:textId="77777777" w:rsidR="00C00C38" w:rsidRPr="0019776A" w:rsidRDefault="00C00C38" w:rsidP="00DE5BDE">
      <w:pPr>
        <w:pStyle w:val="ListParagraph"/>
        <w:numPr>
          <w:ilvl w:val="0"/>
          <w:numId w:val="7"/>
        </w:numPr>
        <w:spacing w:line="276" w:lineRule="auto"/>
        <w:jc w:val="both"/>
        <w:rPr>
          <w:rFonts w:ascii="Arial" w:hAnsi="Arial" w:cs="Arial"/>
          <w:sz w:val="24"/>
          <w:lang w:val="en-CA"/>
        </w:rPr>
      </w:pPr>
      <w:r w:rsidRPr="0019776A">
        <w:rPr>
          <w:rFonts w:ascii="Arial" w:hAnsi="Arial" w:cs="Arial"/>
          <w:sz w:val="24"/>
          <w:lang w:val="en-CA"/>
        </w:rPr>
        <w:t xml:space="preserve">For example, in circumstances where one driver rear ends another vehicle the defendant’s statutory duties are set out in the </w:t>
      </w:r>
      <w:r w:rsidRPr="0019776A">
        <w:rPr>
          <w:rFonts w:ascii="Arial" w:hAnsi="Arial" w:cs="Arial"/>
          <w:i/>
          <w:sz w:val="24"/>
          <w:lang w:val="en-CA"/>
        </w:rPr>
        <w:t>Motor Vehicle Act</w:t>
      </w:r>
      <w:r w:rsidRPr="0019776A">
        <w:rPr>
          <w:rFonts w:ascii="Arial" w:hAnsi="Arial" w:cs="Arial"/>
          <w:sz w:val="24"/>
          <w:lang w:val="en-CA"/>
        </w:rPr>
        <w:t xml:space="preserve"> as follows: </w:t>
      </w:r>
    </w:p>
    <w:p w14:paraId="7BC6CBF6" w14:textId="77777777" w:rsidR="00C00C38" w:rsidRPr="0019776A" w:rsidRDefault="00C00C38" w:rsidP="00C00C38">
      <w:pPr>
        <w:pStyle w:val="ListParagraph"/>
        <w:jc w:val="both"/>
        <w:rPr>
          <w:rFonts w:ascii="Arial" w:hAnsi="Arial" w:cs="Arial"/>
          <w:sz w:val="24"/>
          <w:lang w:val="en-CA"/>
        </w:rPr>
      </w:pPr>
    </w:p>
    <w:p w14:paraId="148BA9D6" w14:textId="77777777" w:rsidR="00C00C38" w:rsidRPr="0019776A" w:rsidRDefault="00C00C38" w:rsidP="00C00C38">
      <w:pPr>
        <w:ind w:left="774"/>
        <w:jc w:val="both"/>
        <w:rPr>
          <w:rFonts w:ascii="Arial" w:hAnsi="Arial" w:cs="Arial"/>
          <w:b/>
          <w:lang w:val="en-CA"/>
        </w:rPr>
      </w:pPr>
      <w:r w:rsidRPr="0019776A">
        <w:rPr>
          <w:rFonts w:ascii="Arial" w:hAnsi="Arial" w:cs="Arial"/>
          <w:b/>
          <w:lang w:val="en-CA"/>
        </w:rPr>
        <w:t>Careless driving prohibited</w:t>
      </w:r>
    </w:p>
    <w:p w14:paraId="4CFF27D2" w14:textId="77777777" w:rsidR="00C00C38" w:rsidRPr="0019776A" w:rsidRDefault="00C00C38" w:rsidP="00C00C38">
      <w:pPr>
        <w:ind w:left="774"/>
        <w:jc w:val="both"/>
        <w:rPr>
          <w:rFonts w:ascii="Arial" w:hAnsi="Arial" w:cs="Arial"/>
          <w:lang w:val="en-CA"/>
        </w:rPr>
      </w:pPr>
      <w:r w:rsidRPr="0019776A">
        <w:rPr>
          <w:rFonts w:ascii="Arial" w:hAnsi="Arial" w:cs="Arial"/>
          <w:lang w:val="en-CA"/>
        </w:rPr>
        <w:t>144  (1) A person must not drive a motor vehicle on a highway: (a) without due care and attention, (b) without reasonable consideration for other persons using the highway, or</w:t>
      </w:r>
    </w:p>
    <w:p w14:paraId="73A77C27" w14:textId="77777777" w:rsidR="00C00C38" w:rsidRPr="0019776A" w:rsidRDefault="00C00C38" w:rsidP="00C00C38">
      <w:pPr>
        <w:ind w:left="774"/>
        <w:jc w:val="both"/>
        <w:rPr>
          <w:rFonts w:ascii="Arial" w:hAnsi="Arial" w:cs="Arial"/>
          <w:lang w:val="en-CA"/>
        </w:rPr>
      </w:pPr>
      <w:r w:rsidRPr="0019776A">
        <w:rPr>
          <w:rFonts w:ascii="Arial" w:hAnsi="Arial" w:cs="Arial"/>
          <w:lang w:val="en-CA"/>
        </w:rPr>
        <w:t>(c) at a speed that is excessive relative to the road, traffic, visibility or weather conditions.</w:t>
      </w:r>
    </w:p>
    <w:p w14:paraId="7B52CE57" w14:textId="77777777" w:rsidR="00C00C38" w:rsidRPr="0019776A" w:rsidRDefault="00C00C38" w:rsidP="00C00C38">
      <w:pPr>
        <w:ind w:left="774"/>
        <w:jc w:val="both"/>
        <w:rPr>
          <w:rFonts w:ascii="Arial" w:hAnsi="Arial" w:cs="Arial"/>
          <w:lang w:val="en-CA"/>
        </w:rPr>
      </w:pPr>
    </w:p>
    <w:p w14:paraId="32C2C848" w14:textId="77777777" w:rsidR="00C00C38" w:rsidRPr="0019776A" w:rsidRDefault="00C00C38" w:rsidP="00C00C38">
      <w:pPr>
        <w:ind w:left="774"/>
        <w:jc w:val="both"/>
        <w:rPr>
          <w:rFonts w:ascii="Arial" w:hAnsi="Arial" w:cs="Arial"/>
          <w:b/>
          <w:lang w:val="en-CA"/>
        </w:rPr>
      </w:pPr>
      <w:r w:rsidRPr="0019776A">
        <w:rPr>
          <w:rFonts w:ascii="Arial" w:hAnsi="Arial" w:cs="Arial"/>
          <w:b/>
          <w:lang w:val="en-CA"/>
        </w:rPr>
        <w:t>Following too closely</w:t>
      </w:r>
    </w:p>
    <w:p w14:paraId="758A428D" w14:textId="77777777" w:rsidR="00C00C38" w:rsidRPr="0019776A" w:rsidRDefault="00C00C38" w:rsidP="00C00C38">
      <w:pPr>
        <w:ind w:left="774"/>
        <w:jc w:val="both"/>
        <w:rPr>
          <w:rFonts w:ascii="Arial" w:hAnsi="Arial" w:cs="Arial"/>
          <w:lang w:val="en-CA"/>
        </w:rPr>
      </w:pPr>
      <w:r w:rsidRPr="0019776A">
        <w:rPr>
          <w:rFonts w:ascii="Arial" w:hAnsi="Arial" w:cs="Arial"/>
          <w:lang w:val="en-CA"/>
        </w:rPr>
        <w:t>162  (1) A driver of a vehicle must not cause or permit the vehicle to follow another vehicle more closely than is reasonable and prudent, having due regard for the speed of the vehicles and the amount and nature of traffic on and the condition of the highway.</w:t>
      </w:r>
    </w:p>
    <w:p w14:paraId="5428179A" w14:textId="77777777" w:rsidR="00C00C38" w:rsidRPr="0019776A" w:rsidRDefault="00C00C38" w:rsidP="00C00C38">
      <w:pPr>
        <w:pStyle w:val="ListParagraph"/>
        <w:jc w:val="both"/>
        <w:rPr>
          <w:rFonts w:ascii="Arial" w:hAnsi="Arial" w:cs="Arial"/>
          <w:lang w:val="en-CA"/>
        </w:rPr>
      </w:pPr>
    </w:p>
    <w:p w14:paraId="24DD7609" w14:textId="77777777" w:rsidR="00C00C38" w:rsidRPr="0019776A" w:rsidRDefault="00C00C38" w:rsidP="00C00C38">
      <w:pPr>
        <w:jc w:val="both"/>
        <w:rPr>
          <w:rFonts w:ascii="Arial" w:hAnsi="Arial" w:cs="Arial"/>
          <w:b/>
          <w:lang w:val="en-CA"/>
        </w:rPr>
      </w:pPr>
    </w:p>
    <w:p w14:paraId="1F5810B0" w14:textId="77777777" w:rsidR="00C00C38" w:rsidRPr="0019776A" w:rsidRDefault="00C00C38" w:rsidP="00EF10C2">
      <w:pPr>
        <w:pStyle w:val="Default"/>
        <w:keepNext/>
        <w:keepLines/>
        <w:numPr>
          <w:ilvl w:val="2"/>
          <w:numId w:val="9"/>
        </w:numPr>
        <w:spacing w:after="240"/>
        <w:jc w:val="both"/>
        <w:rPr>
          <w:rFonts w:ascii="Arial" w:hAnsi="Arial" w:cs="Arial"/>
          <w:b/>
          <w:color w:val="auto"/>
          <w:lang w:val="en-CA"/>
        </w:rPr>
      </w:pPr>
      <w:r w:rsidRPr="0019776A">
        <w:rPr>
          <w:rFonts w:ascii="Arial" w:hAnsi="Arial" w:cs="Arial"/>
          <w:b/>
          <w:color w:val="auto"/>
          <w:lang w:val="en-CA"/>
        </w:rPr>
        <w:t>Common Law Consideration of Statutory Duties</w:t>
      </w:r>
    </w:p>
    <w:p w14:paraId="1084FE05" w14:textId="2822DA13" w:rsidR="00C00C38" w:rsidRPr="0019776A" w:rsidRDefault="00C00C38" w:rsidP="00EF10C2">
      <w:pPr>
        <w:pStyle w:val="ListParagraph"/>
        <w:numPr>
          <w:ilvl w:val="0"/>
          <w:numId w:val="8"/>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The standard of care required in any particular situation is often articulated in judicial decisions. </w:t>
      </w:r>
      <w:r w:rsidR="005708A2">
        <w:rPr>
          <w:rFonts w:ascii="Arial" w:hAnsi="Arial" w:cs="Arial"/>
          <w:sz w:val="24"/>
          <w:lang w:val="en-CA"/>
        </w:rPr>
        <w:t xml:space="preserve">The statutory provisions of the </w:t>
      </w:r>
      <w:r w:rsidR="005708A2">
        <w:rPr>
          <w:rFonts w:ascii="Arial" w:hAnsi="Arial" w:cs="Arial"/>
          <w:i/>
          <w:sz w:val="24"/>
          <w:lang w:val="en-CA"/>
        </w:rPr>
        <w:t>Motor Vehicle Act</w:t>
      </w:r>
      <w:r w:rsidR="005708A2" w:rsidRPr="005D74EB">
        <w:rPr>
          <w:rFonts w:ascii="Arial" w:hAnsi="Arial" w:cs="Arial"/>
          <w:sz w:val="24"/>
          <w:lang w:val="en-CA"/>
        </w:rPr>
        <w:t xml:space="preserve"> supplement the common law duty of all highway users to exercise what constitutes, in all of the circumstances, due care:  </w:t>
      </w:r>
      <w:r w:rsidR="005708A2" w:rsidRPr="005D74EB">
        <w:rPr>
          <w:rFonts w:ascii="Arial" w:hAnsi="Arial" w:cs="Arial"/>
          <w:i/>
          <w:sz w:val="24"/>
          <w:lang w:val="en-CA"/>
        </w:rPr>
        <w:t xml:space="preserve">Cook v. </w:t>
      </w:r>
      <w:proofErr w:type="spellStart"/>
      <w:r w:rsidR="005708A2" w:rsidRPr="005D74EB">
        <w:rPr>
          <w:rFonts w:ascii="Arial" w:hAnsi="Arial" w:cs="Arial"/>
          <w:i/>
          <w:sz w:val="24"/>
          <w:lang w:val="en-CA"/>
        </w:rPr>
        <w:t>Teh</w:t>
      </w:r>
      <w:proofErr w:type="spellEnd"/>
      <w:r w:rsidR="005708A2" w:rsidRPr="005D74EB">
        <w:rPr>
          <w:rFonts w:ascii="Arial" w:hAnsi="Arial" w:cs="Arial"/>
          <w:sz w:val="24"/>
          <w:lang w:val="en-CA"/>
        </w:rPr>
        <w:t>,</w:t>
      </w:r>
      <w:r w:rsidR="005708A2">
        <w:rPr>
          <w:rFonts w:ascii="Arial" w:hAnsi="Arial" w:cs="Arial"/>
          <w:sz w:val="24"/>
          <w:lang w:val="en-CA"/>
        </w:rPr>
        <w:t xml:space="preserve"> </w:t>
      </w:r>
      <w:hyperlink r:id="rId43" w:history="1">
        <w:r w:rsidR="005708A2" w:rsidRPr="005708A2">
          <w:rPr>
            <w:rStyle w:val="Hyperlink"/>
            <w:rFonts w:ascii="Arial" w:hAnsi="Arial" w:cs="Arial"/>
            <w:sz w:val="24"/>
            <w:u w:val="none"/>
            <w:lang w:val="en-CA"/>
          </w:rPr>
          <w:t>[1990] BCJ No. 776 (BCCA)</w:t>
        </w:r>
      </w:hyperlink>
      <w:r w:rsidR="004208B6">
        <w:rPr>
          <w:rFonts w:ascii="Arial" w:hAnsi="Arial" w:cs="Arial"/>
          <w:sz w:val="24"/>
          <w:lang w:val="en-CA"/>
        </w:rPr>
        <w:t xml:space="preserve">, </w:t>
      </w:r>
      <w:r w:rsidR="004208B6" w:rsidRPr="004208B6">
        <w:rPr>
          <w:rFonts w:ascii="Arial" w:hAnsi="Arial" w:cs="Arial"/>
          <w:i/>
          <w:iCs/>
          <w:color w:val="0070C0"/>
          <w:sz w:val="24"/>
          <w:lang w:val="en-CA"/>
        </w:rPr>
        <w:t>Nolan v Kohl</w:t>
      </w:r>
      <w:r w:rsidR="004208B6" w:rsidRPr="004208B6">
        <w:rPr>
          <w:rFonts w:ascii="Arial" w:hAnsi="Arial" w:cs="Arial"/>
          <w:color w:val="0070C0"/>
          <w:sz w:val="24"/>
          <w:lang w:val="en-CA"/>
        </w:rPr>
        <w:t>, 2024 BCSC 1202</w:t>
      </w:r>
      <w:r w:rsidR="005708A2" w:rsidRPr="004208B6">
        <w:rPr>
          <w:rFonts w:ascii="Arial" w:hAnsi="Arial" w:cs="Arial"/>
          <w:color w:val="0070C0"/>
          <w:sz w:val="24"/>
          <w:lang w:val="en-CA"/>
        </w:rPr>
        <w:t xml:space="preserve">  </w:t>
      </w:r>
      <w:r w:rsidRPr="0019776A">
        <w:rPr>
          <w:rFonts w:ascii="Arial" w:hAnsi="Arial" w:cs="Arial"/>
          <w:sz w:val="24"/>
          <w:szCs w:val="24"/>
          <w:lang w:val="en-CA"/>
        </w:rPr>
        <w:t xml:space="preserve">These cases </w:t>
      </w:r>
      <w:r w:rsidR="003766C9" w:rsidRPr="0019776A">
        <w:rPr>
          <w:rFonts w:ascii="Arial" w:hAnsi="Arial" w:cs="Arial"/>
          <w:sz w:val="24"/>
          <w:szCs w:val="24"/>
          <w:lang w:val="en-CA"/>
        </w:rPr>
        <w:t xml:space="preserve">articulate the statutory duties, where applicable, </w:t>
      </w:r>
      <w:r w:rsidRPr="0019776A">
        <w:rPr>
          <w:rFonts w:ascii="Arial" w:hAnsi="Arial" w:cs="Arial"/>
          <w:sz w:val="24"/>
          <w:szCs w:val="24"/>
          <w:lang w:val="en-CA"/>
        </w:rPr>
        <w:t>and fill in gaps required for the interpretation of the standard of care.</w:t>
      </w:r>
      <w:r w:rsidR="005708A2">
        <w:rPr>
          <w:rFonts w:ascii="Arial" w:hAnsi="Arial" w:cs="Arial"/>
          <w:sz w:val="24"/>
          <w:szCs w:val="24"/>
          <w:lang w:val="en-CA"/>
        </w:rPr>
        <w:t xml:space="preserve"> </w:t>
      </w:r>
    </w:p>
    <w:p w14:paraId="3AA24531" w14:textId="77777777" w:rsidR="00485E20" w:rsidRPr="0019776A" w:rsidRDefault="00485E20" w:rsidP="00485E20">
      <w:pPr>
        <w:pStyle w:val="Default"/>
        <w:spacing w:before="360" w:after="360"/>
        <w:jc w:val="both"/>
        <w:rPr>
          <w:rFonts w:ascii="Arial" w:hAnsi="Arial" w:cs="Arial"/>
          <w:b/>
          <w:color w:val="auto"/>
          <w:lang w:val="en-CA"/>
        </w:rPr>
      </w:pPr>
      <w:r w:rsidRPr="0019776A">
        <w:rPr>
          <w:rFonts w:ascii="Arial" w:hAnsi="Arial" w:cs="Arial"/>
          <w:b/>
          <w:lang w:val="en-CA"/>
        </w:rPr>
        <w:t xml:space="preserve">1.5 Third Element: Causation </w:t>
      </w:r>
    </w:p>
    <w:p w14:paraId="5785168C" w14:textId="77777777" w:rsidR="00485E20" w:rsidRPr="0019776A" w:rsidRDefault="00485E20" w:rsidP="00485E20">
      <w:pPr>
        <w:pStyle w:val="ListParagraph"/>
        <w:numPr>
          <w:ilvl w:val="0"/>
          <w:numId w:val="5"/>
        </w:numPr>
        <w:spacing w:line="276" w:lineRule="auto"/>
        <w:ind w:left="360"/>
        <w:jc w:val="both"/>
        <w:rPr>
          <w:rFonts w:ascii="Arial" w:hAnsi="Arial" w:cs="Arial"/>
          <w:sz w:val="24"/>
          <w:szCs w:val="24"/>
          <w:lang w:val="en-CA"/>
        </w:rPr>
      </w:pPr>
      <w:r w:rsidRPr="0019776A">
        <w:rPr>
          <w:rFonts w:ascii="Arial" w:hAnsi="Arial" w:cs="Arial"/>
          <w:sz w:val="24"/>
          <w:szCs w:val="24"/>
          <w:lang w:val="en-CA"/>
        </w:rPr>
        <w:t>What do we mean by causation?  For a defendant to be found liable in negligence, the law requires a causal link between an act or omission and the harm suffered by the plaintiff.</w:t>
      </w:r>
    </w:p>
    <w:p w14:paraId="27BECAD5" w14:textId="77777777" w:rsidR="00485E20" w:rsidRPr="0019776A" w:rsidRDefault="00485E20" w:rsidP="00485E20">
      <w:pPr>
        <w:pStyle w:val="ListParagraph"/>
        <w:ind w:left="360"/>
        <w:jc w:val="both"/>
        <w:rPr>
          <w:rFonts w:ascii="Arial" w:hAnsi="Arial" w:cs="Arial"/>
          <w:sz w:val="24"/>
          <w:szCs w:val="24"/>
          <w:lang w:val="en-CA"/>
        </w:rPr>
      </w:pPr>
    </w:p>
    <w:p w14:paraId="5D781C47" w14:textId="77777777" w:rsidR="00485E20" w:rsidRPr="0019776A" w:rsidRDefault="00485E20" w:rsidP="00485E20">
      <w:pPr>
        <w:pStyle w:val="ListParagraph"/>
        <w:numPr>
          <w:ilvl w:val="0"/>
          <w:numId w:val="5"/>
        </w:numPr>
        <w:spacing w:line="276" w:lineRule="auto"/>
        <w:ind w:left="360"/>
        <w:jc w:val="both"/>
        <w:rPr>
          <w:rFonts w:ascii="Arial" w:hAnsi="Arial" w:cs="Arial"/>
          <w:sz w:val="24"/>
          <w:szCs w:val="24"/>
          <w:lang w:val="en-CA"/>
        </w:rPr>
      </w:pPr>
      <w:r w:rsidRPr="0019776A">
        <w:rPr>
          <w:rFonts w:ascii="Arial" w:hAnsi="Arial" w:cs="Arial"/>
          <w:sz w:val="24"/>
          <w:szCs w:val="24"/>
          <w:lang w:val="en-CA"/>
        </w:rPr>
        <w:t>There are three cases that you need to know for causation – they come up repeatedly and they form the cornerstone of any contentious case involving causation:</w:t>
      </w:r>
    </w:p>
    <w:p w14:paraId="63E1B3E5" w14:textId="77777777" w:rsidR="00485E20" w:rsidRPr="0019776A" w:rsidRDefault="00485E20" w:rsidP="00485E20">
      <w:pPr>
        <w:jc w:val="both"/>
        <w:rPr>
          <w:rFonts w:ascii="Arial" w:hAnsi="Arial" w:cs="Arial"/>
          <w:i/>
          <w:sz w:val="24"/>
          <w:szCs w:val="24"/>
          <w:lang w:val="en-CA"/>
        </w:rPr>
      </w:pPr>
    </w:p>
    <w:p w14:paraId="64BF4BCE" w14:textId="77777777" w:rsidR="00485E20" w:rsidRPr="0019776A" w:rsidRDefault="00485E20" w:rsidP="00485E20">
      <w:pPr>
        <w:pStyle w:val="ListParagraph"/>
        <w:numPr>
          <w:ilvl w:val="1"/>
          <w:numId w:val="5"/>
        </w:numPr>
        <w:spacing w:line="276" w:lineRule="auto"/>
        <w:ind w:left="720"/>
        <w:jc w:val="both"/>
        <w:rPr>
          <w:rFonts w:ascii="Arial" w:hAnsi="Arial" w:cs="Arial"/>
          <w:sz w:val="24"/>
          <w:szCs w:val="24"/>
          <w:lang w:val="en-CA"/>
        </w:rPr>
      </w:pPr>
      <w:r w:rsidRPr="0019776A">
        <w:rPr>
          <w:rFonts w:ascii="Arial" w:hAnsi="Arial" w:cs="Arial"/>
          <w:i/>
          <w:sz w:val="24"/>
          <w:szCs w:val="24"/>
          <w:lang w:val="en-CA"/>
        </w:rPr>
        <w:t xml:space="preserve">Athey v. </w:t>
      </w:r>
      <w:proofErr w:type="spellStart"/>
      <w:r w:rsidRPr="0019776A">
        <w:rPr>
          <w:rFonts w:ascii="Arial" w:hAnsi="Arial" w:cs="Arial"/>
          <w:i/>
          <w:sz w:val="24"/>
          <w:szCs w:val="24"/>
          <w:lang w:val="en-CA"/>
        </w:rPr>
        <w:t>Leonati</w:t>
      </w:r>
      <w:proofErr w:type="spellEnd"/>
      <w:r w:rsidRPr="0019776A">
        <w:rPr>
          <w:rFonts w:ascii="Arial" w:hAnsi="Arial" w:cs="Arial"/>
          <w:i/>
          <w:sz w:val="24"/>
          <w:szCs w:val="24"/>
          <w:lang w:val="en-CA"/>
        </w:rPr>
        <w:t xml:space="preserve"> </w:t>
      </w:r>
      <w:hyperlink r:id="rId44" w:history="1">
        <w:r w:rsidRPr="0019776A">
          <w:rPr>
            <w:rStyle w:val="Hyperlink"/>
            <w:rFonts w:ascii="Arial" w:hAnsi="Arial" w:cs="Arial"/>
            <w:sz w:val="24"/>
            <w:szCs w:val="24"/>
            <w:u w:val="none"/>
            <w:lang w:val="en-CA"/>
          </w:rPr>
          <w:t>1996 3 SCR 458</w:t>
        </w:r>
      </w:hyperlink>
      <w:r w:rsidRPr="0019776A">
        <w:rPr>
          <w:rFonts w:ascii="Arial" w:hAnsi="Arial" w:cs="Arial"/>
          <w:sz w:val="24"/>
          <w:szCs w:val="24"/>
          <w:lang w:val="en-CA"/>
        </w:rPr>
        <w:t xml:space="preserve"> </w:t>
      </w:r>
    </w:p>
    <w:p w14:paraId="4279078B" w14:textId="77777777" w:rsidR="00485E20" w:rsidRPr="0019776A" w:rsidRDefault="00485E20" w:rsidP="00485E20">
      <w:pPr>
        <w:pStyle w:val="ListParagraph"/>
        <w:numPr>
          <w:ilvl w:val="1"/>
          <w:numId w:val="5"/>
        </w:numPr>
        <w:spacing w:line="276" w:lineRule="auto"/>
        <w:ind w:left="720"/>
        <w:jc w:val="both"/>
        <w:rPr>
          <w:rFonts w:ascii="Arial" w:hAnsi="Arial" w:cs="Arial"/>
          <w:sz w:val="24"/>
          <w:szCs w:val="24"/>
          <w:lang w:val="en-CA"/>
        </w:rPr>
      </w:pPr>
      <w:proofErr w:type="spellStart"/>
      <w:r w:rsidRPr="0019776A">
        <w:rPr>
          <w:rFonts w:ascii="Arial" w:hAnsi="Arial" w:cs="Arial"/>
          <w:i/>
          <w:sz w:val="24"/>
          <w:szCs w:val="24"/>
          <w:lang w:val="en-CA"/>
        </w:rPr>
        <w:t>Resurfice</w:t>
      </w:r>
      <w:proofErr w:type="spellEnd"/>
      <w:r w:rsidRPr="0019776A">
        <w:rPr>
          <w:rFonts w:ascii="Arial" w:hAnsi="Arial" w:cs="Arial"/>
          <w:i/>
          <w:sz w:val="24"/>
          <w:szCs w:val="24"/>
          <w:lang w:val="en-CA"/>
        </w:rPr>
        <w:t xml:space="preserve"> Corp. v. Hanke</w:t>
      </w:r>
      <w:r w:rsidRPr="0019776A">
        <w:rPr>
          <w:rFonts w:ascii="Arial" w:hAnsi="Arial" w:cs="Arial"/>
          <w:sz w:val="24"/>
          <w:szCs w:val="24"/>
          <w:lang w:val="en-CA"/>
        </w:rPr>
        <w:t xml:space="preserve">, </w:t>
      </w:r>
      <w:hyperlink r:id="rId45" w:history="1">
        <w:r w:rsidRPr="0019776A">
          <w:rPr>
            <w:rStyle w:val="Hyperlink"/>
            <w:rFonts w:ascii="Arial" w:hAnsi="Arial" w:cs="Arial"/>
            <w:sz w:val="24"/>
            <w:szCs w:val="24"/>
            <w:u w:val="none"/>
            <w:lang w:val="en-CA"/>
          </w:rPr>
          <w:t>2007 1 SCR 333</w:t>
        </w:r>
      </w:hyperlink>
      <w:r w:rsidRPr="0019776A">
        <w:rPr>
          <w:rFonts w:ascii="Arial" w:hAnsi="Arial" w:cs="Arial"/>
          <w:sz w:val="24"/>
          <w:szCs w:val="24"/>
          <w:lang w:val="en-CA"/>
        </w:rPr>
        <w:t xml:space="preserve"> </w:t>
      </w:r>
    </w:p>
    <w:p w14:paraId="3AAEC62A" w14:textId="77777777" w:rsidR="00485E20" w:rsidRPr="0019776A" w:rsidRDefault="00485E20" w:rsidP="00485E20">
      <w:pPr>
        <w:pStyle w:val="ListParagraph"/>
        <w:numPr>
          <w:ilvl w:val="1"/>
          <w:numId w:val="5"/>
        </w:numPr>
        <w:spacing w:line="276" w:lineRule="auto"/>
        <w:ind w:left="720"/>
        <w:jc w:val="both"/>
        <w:rPr>
          <w:rFonts w:ascii="Arial" w:hAnsi="Arial" w:cs="Arial"/>
          <w:sz w:val="24"/>
          <w:szCs w:val="24"/>
          <w:lang w:val="en-CA"/>
        </w:rPr>
      </w:pPr>
      <w:r w:rsidRPr="0019776A">
        <w:rPr>
          <w:rFonts w:ascii="Arial" w:hAnsi="Arial" w:cs="Arial"/>
          <w:i/>
          <w:sz w:val="24"/>
          <w:szCs w:val="24"/>
          <w:lang w:val="en-CA"/>
        </w:rPr>
        <w:t>Clements v. Clements</w:t>
      </w:r>
      <w:r w:rsidRPr="0019776A">
        <w:rPr>
          <w:rFonts w:ascii="Arial" w:hAnsi="Arial" w:cs="Arial"/>
          <w:sz w:val="24"/>
          <w:szCs w:val="24"/>
          <w:lang w:val="en-CA"/>
        </w:rPr>
        <w:t xml:space="preserve">, </w:t>
      </w:r>
      <w:hyperlink r:id="rId46" w:history="1">
        <w:r w:rsidRPr="0019776A">
          <w:rPr>
            <w:rStyle w:val="Hyperlink"/>
            <w:rFonts w:ascii="Arial" w:hAnsi="Arial" w:cs="Arial"/>
            <w:sz w:val="24"/>
            <w:szCs w:val="24"/>
            <w:u w:val="none"/>
            <w:lang w:val="en-CA"/>
          </w:rPr>
          <w:t>2012 SCC 32</w:t>
        </w:r>
      </w:hyperlink>
    </w:p>
    <w:p w14:paraId="5DF50E3A" w14:textId="77777777" w:rsidR="00485E20" w:rsidRPr="0019776A" w:rsidRDefault="00485E20" w:rsidP="00485E20">
      <w:pPr>
        <w:jc w:val="both"/>
        <w:rPr>
          <w:rFonts w:ascii="Arial" w:hAnsi="Arial" w:cs="Arial"/>
          <w:sz w:val="24"/>
          <w:szCs w:val="24"/>
          <w:lang w:val="en-CA"/>
        </w:rPr>
      </w:pPr>
    </w:p>
    <w:p w14:paraId="1D2FA02A" w14:textId="77777777" w:rsidR="00485E20" w:rsidRPr="0019776A" w:rsidRDefault="00485E20" w:rsidP="00485E20">
      <w:pPr>
        <w:pStyle w:val="ListParagraph"/>
        <w:numPr>
          <w:ilvl w:val="0"/>
          <w:numId w:val="5"/>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These three cases are read together – meaning you have to know all three to properly understand the causation analysis.  </w:t>
      </w:r>
    </w:p>
    <w:p w14:paraId="47201D9C" w14:textId="77777777" w:rsidR="00485E20" w:rsidRPr="0019776A" w:rsidRDefault="00485E20" w:rsidP="00485E20">
      <w:pPr>
        <w:pStyle w:val="ListParagraph"/>
        <w:ind w:left="360"/>
        <w:jc w:val="both"/>
        <w:rPr>
          <w:rFonts w:ascii="Arial" w:hAnsi="Arial" w:cs="Arial"/>
          <w:sz w:val="24"/>
          <w:szCs w:val="24"/>
          <w:lang w:val="en-CA"/>
        </w:rPr>
      </w:pPr>
    </w:p>
    <w:p w14:paraId="361CC5E9" w14:textId="46900BD9" w:rsidR="00485E20" w:rsidRPr="0019776A" w:rsidRDefault="005F0942" w:rsidP="00485E20">
      <w:pPr>
        <w:pStyle w:val="ListParagraph"/>
        <w:numPr>
          <w:ilvl w:val="0"/>
          <w:numId w:val="5"/>
        </w:numPr>
        <w:spacing w:line="276" w:lineRule="auto"/>
        <w:ind w:left="360"/>
        <w:jc w:val="both"/>
        <w:rPr>
          <w:rFonts w:ascii="Arial" w:hAnsi="Arial" w:cs="Arial"/>
          <w:sz w:val="24"/>
          <w:szCs w:val="24"/>
          <w:lang w:val="en-CA"/>
        </w:rPr>
      </w:pPr>
      <w:r>
        <w:rPr>
          <w:rFonts w:ascii="Arial" w:hAnsi="Arial" w:cs="Arial"/>
          <w:sz w:val="24"/>
          <w:szCs w:val="24"/>
          <w:lang w:val="en-CA"/>
        </w:rPr>
        <w:t>For</w:t>
      </w:r>
      <w:r w:rsidR="00485E20" w:rsidRPr="0019776A">
        <w:rPr>
          <w:rFonts w:ascii="Arial" w:hAnsi="Arial" w:cs="Arial"/>
          <w:sz w:val="24"/>
          <w:szCs w:val="24"/>
          <w:lang w:val="en-CA"/>
        </w:rPr>
        <w:t xml:space="preserve"> the purpose of this week’s</w:t>
      </w:r>
      <w:r w:rsidR="0055073C">
        <w:rPr>
          <w:rFonts w:ascii="Arial" w:hAnsi="Arial" w:cs="Arial"/>
          <w:sz w:val="24"/>
          <w:szCs w:val="24"/>
          <w:lang w:val="en-CA"/>
        </w:rPr>
        <w:t xml:space="preserve"> brief</w:t>
      </w:r>
      <w:r w:rsidR="00485E20" w:rsidRPr="0019776A">
        <w:rPr>
          <w:rFonts w:ascii="Arial" w:hAnsi="Arial" w:cs="Arial"/>
          <w:sz w:val="24"/>
          <w:szCs w:val="24"/>
          <w:lang w:val="en-CA"/>
        </w:rPr>
        <w:t xml:space="preserve"> discussion </w:t>
      </w:r>
      <w:r w:rsidR="0055073C">
        <w:rPr>
          <w:rFonts w:ascii="Arial" w:hAnsi="Arial" w:cs="Arial"/>
          <w:sz w:val="24"/>
          <w:szCs w:val="24"/>
          <w:lang w:val="en-CA"/>
        </w:rPr>
        <w:t xml:space="preserve">of causation, </w:t>
      </w:r>
      <w:r w:rsidR="00485E20" w:rsidRPr="0019776A">
        <w:rPr>
          <w:rFonts w:ascii="Arial" w:hAnsi="Arial" w:cs="Arial"/>
          <w:sz w:val="24"/>
          <w:szCs w:val="24"/>
          <w:lang w:val="en-CA"/>
        </w:rPr>
        <w:t xml:space="preserve">we are going to focus on the </w:t>
      </w:r>
      <w:r w:rsidR="00485E20" w:rsidRPr="0019776A">
        <w:rPr>
          <w:rFonts w:ascii="Arial" w:hAnsi="Arial" w:cs="Arial"/>
          <w:i/>
          <w:sz w:val="24"/>
          <w:szCs w:val="24"/>
          <w:lang w:val="en-CA"/>
        </w:rPr>
        <w:t xml:space="preserve">Clements </w:t>
      </w:r>
      <w:r w:rsidR="00485E20" w:rsidRPr="0019776A">
        <w:rPr>
          <w:rFonts w:ascii="Arial" w:hAnsi="Arial" w:cs="Arial"/>
          <w:sz w:val="24"/>
          <w:szCs w:val="24"/>
          <w:lang w:val="en-CA"/>
        </w:rPr>
        <w:t>decision. In this case the plaintiff was riding on the back of her husband’s motorcycle when he crashed and caused serious injury.  The defendant (husband) acknowledged that he was negligent for driving too fast and for overloading the motorcycle.  The defendant disputed liability on the basis that his negligence did not cause the accident because there was a nail in the tire.  Therefore, the primary issue at trial was weather the defendant’s negligence caused the plaintiff’s injuries.</w:t>
      </w:r>
    </w:p>
    <w:p w14:paraId="08E14620" w14:textId="77777777" w:rsidR="00485E20" w:rsidRPr="0019776A" w:rsidRDefault="00485E20" w:rsidP="00485E20">
      <w:pPr>
        <w:jc w:val="both"/>
        <w:rPr>
          <w:rFonts w:ascii="Arial" w:hAnsi="Arial" w:cs="Arial"/>
          <w:sz w:val="24"/>
          <w:szCs w:val="24"/>
          <w:lang w:val="en-CA"/>
        </w:rPr>
      </w:pPr>
    </w:p>
    <w:p w14:paraId="454C023B" w14:textId="77777777" w:rsidR="00485E20" w:rsidRPr="005F0942" w:rsidRDefault="00485E20" w:rsidP="00EF10C2">
      <w:pPr>
        <w:pStyle w:val="ListParagraph"/>
        <w:numPr>
          <w:ilvl w:val="0"/>
          <w:numId w:val="12"/>
        </w:numPr>
        <w:spacing w:line="276" w:lineRule="auto"/>
        <w:ind w:left="360"/>
        <w:jc w:val="both"/>
        <w:rPr>
          <w:rFonts w:ascii="Arial" w:hAnsi="Arial" w:cs="Arial"/>
          <w:sz w:val="24"/>
          <w:szCs w:val="24"/>
          <w:lang w:val="en-CA"/>
        </w:rPr>
      </w:pPr>
      <w:r w:rsidRPr="005F0942">
        <w:rPr>
          <w:rFonts w:ascii="Arial" w:hAnsi="Arial" w:cs="Arial"/>
          <w:sz w:val="24"/>
          <w:szCs w:val="24"/>
          <w:lang w:val="en-CA"/>
        </w:rPr>
        <w:t xml:space="preserve">Let’s review the facts in </w:t>
      </w:r>
      <w:r w:rsidRPr="005F0942">
        <w:rPr>
          <w:rFonts w:ascii="Arial" w:hAnsi="Arial" w:cs="Arial"/>
          <w:i/>
          <w:sz w:val="24"/>
          <w:szCs w:val="24"/>
          <w:lang w:val="en-CA"/>
        </w:rPr>
        <w:t>Clements v. Clements</w:t>
      </w:r>
      <w:r w:rsidRPr="005F0942">
        <w:rPr>
          <w:rFonts w:ascii="Arial" w:hAnsi="Arial" w:cs="Arial"/>
          <w:sz w:val="24"/>
          <w:szCs w:val="24"/>
          <w:lang w:val="en-CA"/>
        </w:rPr>
        <w:t>:</w:t>
      </w:r>
    </w:p>
    <w:p w14:paraId="0FFE6BA7" w14:textId="77777777" w:rsidR="00485E20" w:rsidRPr="005F0942" w:rsidRDefault="00485E20" w:rsidP="00485E20">
      <w:pPr>
        <w:jc w:val="both"/>
        <w:rPr>
          <w:rFonts w:ascii="Arial" w:hAnsi="Arial" w:cs="Arial"/>
          <w:sz w:val="24"/>
          <w:szCs w:val="24"/>
          <w:lang w:val="en-CA"/>
        </w:rPr>
      </w:pPr>
    </w:p>
    <w:p w14:paraId="2E748D75"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 xml:space="preserve">Mr. and Mrs. Clements were riding their motorcycle from BC to Alberta. </w:t>
      </w:r>
    </w:p>
    <w:p w14:paraId="4863864A" w14:textId="77777777" w:rsidR="00485E20" w:rsidRPr="005F0942" w:rsidRDefault="00485E20" w:rsidP="00485E20">
      <w:pPr>
        <w:jc w:val="both"/>
        <w:rPr>
          <w:rFonts w:ascii="Arial" w:hAnsi="Arial" w:cs="Arial"/>
          <w:sz w:val="24"/>
          <w:szCs w:val="24"/>
          <w:lang w:val="en-CA"/>
        </w:rPr>
      </w:pPr>
    </w:p>
    <w:p w14:paraId="2D2394FC"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 xml:space="preserve">Mr. Clements (the defendant) was driving while Mrs. Clements (the plaintiff) was his passenger. </w:t>
      </w:r>
    </w:p>
    <w:p w14:paraId="491741B1" w14:textId="77777777" w:rsidR="00485E20" w:rsidRPr="005F0942" w:rsidRDefault="00485E20" w:rsidP="00485E20">
      <w:pPr>
        <w:pStyle w:val="ListParagraph"/>
        <w:jc w:val="both"/>
        <w:rPr>
          <w:rFonts w:ascii="Arial" w:hAnsi="Arial" w:cs="Arial"/>
          <w:sz w:val="24"/>
          <w:szCs w:val="24"/>
          <w:lang w:val="en-CA"/>
        </w:rPr>
      </w:pPr>
    </w:p>
    <w:p w14:paraId="1C3FFB58"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At the time, the bike was 100 pounds overloaded.</w:t>
      </w:r>
    </w:p>
    <w:p w14:paraId="5D9A22DA" w14:textId="77777777" w:rsidR="00485E20" w:rsidRPr="005F0942" w:rsidRDefault="00485E20" w:rsidP="00485E20">
      <w:pPr>
        <w:pStyle w:val="ListParagraph"/>
        <w:jc w:val="both"/>
        <w:rPr>
          <w:rFonts w:ascii="Arial" w:hAnsi="Arial" w:cs="Arial"/>
          <w:sz w:val="24"/>
          <w:szCs w:val="24"/>
          <w:lang w:val="en-CA"/>
        </w:rPr>
      </w:pPr>
    </w:p>
    <w:p w14:paraId="7D37F4C3"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 xml:space="preserve">They stopped for gas shortly before the accident and Mr. Clements did not conduct a visual inspection of his </w:t>
      </w:r>
      <w:proofErr w:type="gramStart"/>
      <w:r w:rsidRPr="005F0942">
        <w:rPr>
          <w:rFonts w:ascii="Arial" w:hAnsi="Arial" w:cs="Arial"/>
          <w:sz w:val="24"/>
          <w:szCs w:val="24"/>
          <w:lang w:val="en-CA"/>
        </w:rPr>
        <w:t>motor cycle</w:t>
      </w:r>
      <w:proofErr w:type="gramEnd"/>
      <w:r w:rsidRPr="005F0942">
        <w:rPr>
          <w:rFonts w:ascii="Arial" w:hAnsi="Arial" w:cs="Arial"/>
          <w:sz w:val="24"/>
          <w:szCs w:val="24"/>
          <w:lang w:val="en-CA"/>
        </w:rPr>
        <w:t>.</w:t>
      </w:r>
    </w:p>
    <w:p w14:paraId="66B5C86F" w14:textId="77777777" w:rsidR="00485E20" w:rsidRPr="005F0942" w:rsidRDefault="00485E20" w:rsidP="00485E20">
      <w:pPr>
        <w:pStyle w:val="ListParagraph"/>
        <w:jc w:val="both"/>
        <w:rPr>
          <w:rFonts w:ascii="Arial" w:hAnsi="Arial" w:cs="Arial"/>
          <w:sz w:val="24"/>
          <w:szCs w:val="24"/>
          <w:lang w:val="en-CA"/>
        </w:rPr>
      </w:pPr>
    </w:p>
    <w:p w14:paraId="66D7443B"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Mr. Clements did not have much sleep and was tired but wanted to “push on”.</w:t>
      </w:r>
    </w:p>
    <w:p w14:paraId="6B617993" w14:textId="77777777" w:rsidR="00485E20" w:rsidRPr="005F0942" w:rsidRDefault="00485E20" w:rsidP="00485E20">
      <w:pPr>
        <w:pStyle w:val="ListParagraph"/>
        <w:ind w:left="360"/>
        <w:jc w:val="both"/>
        <w:rPr>
          <w:rFonts w:ascii="Arial" w:hAnsi="Arial" w:cs="Arial"/>
          <w:sz w:val="24"/>
          <w:szCs w:val="24"/>
          <w:lang w:val="en-CA"/>
        </w:rPr>
      </w:pPr>
    </w:p>
    <w:p w14:paraId="1581FD0F"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It was wet weather conditions.</w:t>
      </w:r>
    </w:p>
    <w:p w14:paraId="36D5D748" w14:textId="77777777" w:rsidR="00485E20" w:rsidRPr="005F0942" w:rsidRDefault="00485E20" w:rsidP="00485E20">
      <w:pPr>
        <w:pStyle w:val="ListParagraph"/>
        <w:ind w:left="360"/>
        <w:jc w:val="both"/>
        <w:rPr>
          <w:rFonts w:ascii="Arial" w:hAnsi="Arial" w:cs="Arial"/>
          <w:sz w:val="24"/>
          <w:szCs w:val="24"/>
          <w:lang w:val="en-CA"/>
        </w:rPr>
      </w:pPr>
    </w:p>
    <w:p w14:paraId="44B0ACCA" w14:textId="23BBD59D"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They crashed when passing anot</w:t>
      </w:r>
      <w:r w:rsidR="00996AE6" w:rsidRPr="005F0942">
        <w:rPr>
          <w:rFonts w:ascii="Arial" w:hAnsi="Arial" w:cs="Arial"/>
          <w:sz w:val="24"/>
          <w:szCs w:val="24"/>
          <w:lang w:val="en-CA"/>
        </w:rPr>
        <w:t>her vehicle at a speed of 120 km/h, a speed that was about 30 km/</w:t>
      </w:r>
      <w:r w:rsidRPr="005F0942">
        <w:rPr>
          <w:rFonts w:ascii="Arial" w:hAnsi="Arial" w:cs="Arial"/>
          <w:sz w:val="24"/>
          <w:szCs w:val="24"/>
          <w:lang w:val="en-CA"/>
        </w:rPr>
        <w:t xml:space="preserve">h over a ‘safe’ speed for the road, according to experts. </w:t>
      </w:r>
    </w:p>
    <w:p w14:paraId="48E18DBC" w14:textId="77777777" w:rsidR="00485E20" w:rsidRPr="005F0942" w:rsidRDefault="00485E20" w:rsidP="00485E20">
      <w:pPr>
        <w:jc w:val="both"/>
        <w:rPr>
          <w:rFonts w:ascii="Arial" w:hAnsi="Arial" w:cs="Arial"/>
          <w:sz w:val="24"/>
          <w:szCs w:val="24"/>
          <w:lang w:val="en-CA"/>
        </w:rPr>
      </w:pPr>
    </w:p>
    <w:p w14:paraId="100742A9"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 xml:space="preserve">Mrs. Clements suffered a severe traumatic brain injury. </w:t>
      </w:r>
    </w:p>
    <w:p w14:paraId="01950D50" w14:textId="77777777" w:rsidR="00485E20" w:rsidRPr="005F0942" w:rsidRDefault="00485E20" w:rsidP="00485E20">
      <w:pPr>
        <w:jc w:val="both"/>
        <w:rPr>
          <w:rFonts w:ascii="Arial" w:hAnsi="Arial" w:cs="Arial"/>
          <w:sz w:val="24"/>
          <w:szCs w:val="24"/>
          <w:lang w:val="en-CA"/>
        </w:rPr>
      </w:pPr>
    </w:p>
    <w:p w14:paraId="4E2C6737"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 xml:space="preserve">It was subsequently discovered that the rear tire had a nail puncture. </w:t>
      </w:r>
    </w:p>
    <w:p w14:paraId="188088D1" w14:textId="77777777" w:rsidR="00485E20" w:rsidRPr="005F0942" w:rsidRDefault="00485E20" w:rsidP="00485E20">
      <w:pPr>
        <w:jc w:val="both"/>
        <w:rPr>
          <w:rFonts w:ascii="Arial" w:hAnsi="Arial" w:cs="Arial"/>
          <w:sz w:val="24"/>
          <w:szCs w:val="24"/>
          <w:lang w:val="en-CA"/>
        </w:rPr>
      </w:pPr>
    </w:p>
    <w:p w14:paraId="160D8515" w14:textId="77777777" w:rsidR="00485E20" w:rsidRPr="005F0942" w:rsidRDefault="00485E20" w:rsidP="00EF10C2">
      <w:pPr>
        <w:pStyle w:val="ListParagraph"/>
        <w:numPr>
          <w:ilvl w:val="0"/>
          <w:numId w:val="13"/>
        </w:numPr>
        <w:spacing w:line="276" w:lineRule="auto"/>
        <w:jc w:val="both"/>
        <w:rPr>
          <w:rFonts w:ascii="Arial" w:hAnsi="Arial" w:cs="Arial"/>
          <w:sz w:val="24"/>
          <w:szCs w:val="24"/>
          <w:lang w:val="en-CA"/>
        </w:rPr>
      </w:pPr>
      <w:r w:rsidRPr="005F0942">
        <w:rPr>
          <w:rFonts w:ascii="Arial" w:hAnsi="Arial" w:cs="Arial"/>
          <w:sz w:val="24"/>
          <w:szCs w:val="24"/>
          <w:lang w:val="en-CA"/>
        </w:rPr>
        <w:t xml:space="preserve">Mrs. Clements had brought action against her husband, claiming that his negligence in the operation of the bike caused her brain injury.  </w:t>
      </w:r>
    </w:p>
    <w:p w14:paraId="1FB7313A" w14:textId="77777777" w:rsidR="00485E20" w:rsidRPr="0019776A" w:rsidRDefault="00485E20" w:rsidP="00485E20">
      <w:pPr>
        <w:pStyle w:val="ListParagraph"/>
        <w:jc w:val="both"/>
        <w:rPr>
          <w:rFonts w:ascii="Arial" w:hAnsi="Arial" w:cs="Arial"/>
          <w:sz w:val="24"/>
          <w:szCs w:val="24"/>
          <w:lang w:val="en-CA"/>
        </w:rPr>
      </w:pPr>
    </w:p>
    <w:p w14:paraId="51E83332" w14:textId="756FDC76" w:rsidR="00485E20" w:rsidRPr="0019776A" w:rsidRDefault="00485E20" w:rsidP="00EF10C2">
      <w:pPr>
        <w:pStyle w:val="ListParagraph"/>
        <w:numPr>
          <w:ilvl w:val="0"/>
          <w:numId w:val="14"/>
        </w:numPr>
        <w:spacing w:line="276" w:lineRule="auto"/>
        <w:ind w:left="360"/>
        <w:jc w:val="both"/>
        <w:rPr>
          <w:rFonts w:ascii="Arial" w:hAnsi="Arial" w:cs="Arial"/>
          <w:sz w:val="24"/>
          <w:szCs w:val="24"/>
          <w:lang w:val="en-CA"/>
        </w:rPr>
      </w:pPr>
      <w:r w:rsidRPr="0019776A">
        <w:rPr>
          <w:rFonts w:ascii="Arial" w:hAnsi="Arial" w:cs="Arial"/>
          <w:sz w:val="24"/>
          <w:szCs w:val="24"/>
          <w:lang w:val="en-CA"/>
        </w:rPr>
        <w:t>Mr. Clements agreed that he was negligent, however, Mr. Clements argued that his negligence did not cause the crash and injury.</w:t>
      </w:r>
      <w:r w:rsidR="0095302C">
        <w:rPr>
          <w:rFonts w:ascii="Arial" w:hAnsi="Arial" w:cs="Arial"/>
          <w:sz w:val="24"/>
          <w:szCs w:val="24"/>
          <w:lang w:val="en-CA"/>
        </w:rPr>
        <w:t xml:space="preserve"> </w:t>
      </w:r>
      <w:r w:rsidRPr="0019776A">
        <w:rPr>
          <w:rFonts w:ascii="Arial" w:hAnsi="Arial" w:cs="Arial"/>
          <w:sz w:val="24"/>
          <w:szCs w:val="24"/>
          <w:lang w:val="en-CA"/>
        </w:rPr>
        <w:t>In particular, Mr. Clements called an expert witness, who testified that the probable cause of the accident was the tire puncture and subsequent deflation.</w:t>
      </w:r>
      <w:r w:rsidR="0095302C">
        <w:rPr>
          <w:rFonts w:ascii="Arial" w:hAnsi="Arial" w:cs="Arial"/>
          <w:sz w:val="24"/>
          <w:szCs w:val="24"/>
          <w:lang w:val="en-CA"/>
        </w:rPr>
        <w:t xml:space="preserve"> </w:t>
      </w:r>
      <w:r w:rsidRPr="0019776A">
        <w:rPr>
          <w:rFonts w:ascii="Arial" w:hAnsi="Arial" w:cs="Arial"/>
          <w:sz w:val="24"/>
          <w:szCs w:val="24"/>
          <w:lang w:val="en-CA"/>
        </w:rPr>
        <w:t>The accident,</w:t>
      </w:r>
      <w:r w:rsidR="0095302C">
        <w:rPr>
          <w:rFonts w:ascii="Arial" w:hAnsi="Arial" w:cs="Arial"/>
          <w:sz w:val="24"/>
          <w:szCs w:val="24"/>
          <w:lang w:val="en-CA"/>
        </w:rPr>
        <w:t xml:space="preserve"> </w:t>
      </w:r>
      <w:r w:rsidRPr="0019776A">
        <w:rPr>
          <w:rFonts w:ascii="Arial" w:hAnsi="Arial" w:cs="Arial"/>
          <w:sz w:val="24"/>
          <w:szCs w:val="24"/>
          <w:lang w:val="en-CA"/>
        </w:rPr>
        <w:t xml:space="preserve">the defence said, would have happened no matter what Mr. Clements did. It could not be said that “but for” his (admittedly) negligent acts, the crash and injuries would have not occurred.  </w:t>
      </w:r>
    </w:p>
    <w:p w14:paraId="5400D6AF" w14:textId="77777777" w:rsidR="00485E20" w:rsidRPr="0019776A" w:rsidRDefault="00485E20" w:rsidP="00485E20">
      <w:pPr>
        <w:pStyle w:val="ListParagraph"/>
        <w:jc w:val="both"/>
        <w:rPr>
          <w:rFonts w:ascii="Arial" w:hAnsi="Arial" w:cs="Arial"/>
          <w:sz w:val="24"/>
          <w:szCs w:val="24"/>
          <w:lang w:val="en-CA"/>
        </w:rPr>
      </w:pPr>
    </w:p>
    <w:p w14:paraId="3F38E964" w14:textId="77777777" w:rsidR="00485E20" w:rsidRPr="0019776A" w:rsidRDefault="00485E20" w:rsidP="00EF10C2">
      <w:pPr>
        <w:pStyle w:val="ListParagraph"/>
        <w:numPr>
          <w:ilvl w:val="0"/>
          <w:numId w:val="14"/>
        </w:numPr>
        <w:spacing w:line="276" w:lineRule="auto"/>
        <w:ind w:left="360"/>
        <w:jc w:val="both"/>
        <w:rPr>
          <w:rFonts w:ascii="Arial" w:hAnsi="Arial" w:cs="Arial"/>
          <w:sz w:val="24"/>
          <w:szCs w:val="24"/>
          <w:lang w:val="en-CA"/>
        </w:rPr>
      </w:pPr>
      <w:r w:rsidRPr="0019776A">
        <w:rPr>
          <w:rFonts w:ascii="Arial" w:hAnsi="Arial" w:cs="Arial"/>
          <w:sz w:val="24"/>
          <w:szCs w:val="24"/>
          <w:lang w:val="en-CA"/>
        </w:rPr>
        <w:t>What happened at trial is well summarized by the Supreme Court in its judgment at para 3:</w:t>
      </w:r>
    </w:p>
    <w:p w14:paraId="055E77CD" w14:textId="77777777" w:rsidR="00485E20" w:rsidRPr="0019776A" w:rsidRDefault="00485E20" w:rsidP="00485E20">
      <w:pPr>
        <w:ind w:left="360"/>
        <w:jc w:val="both"/>
        <w:rPr>
          <w:rFonts w:ascii="Arial" w:hAnsi="Arial" w:cs="Arial"/>
          <w:sz w:val="24"/>
          <w:szCs w:val="24"/>
          <w:lang w:val="en-CA"/>
        </w:rPr>
      </w:pPr>
    </w:p>
    <w:p w14:paraId="1426981E" w14:textId="6F4CABDB" w:rsidR="00485E20" w:rsidRPr="0019776A" w:rsidRDefault="00485E20" w:rsidP="00485E20">
      <w:pPr>
        <w:ind w:left="720" w:right="720"/>
        <w:jc w:val="both"/>
        <w:rPr>
          <w:rFonts w:ascii="Arial" w:hAnsi="Arial" w:cs="Arial"/>
          <w:i/>
          <w:szCs w:val="24"/>
          <w:lang w:val="en-CA"/>
        </w:rPr>
      </w:pPr>
      <w:r w:rsidRPr="0019776A">
        <w:rPr>
          <w:rFonts w:ascii="Arial" w:hAnsi="Arial" w:cs="Arial"/>
          <w:i/>
          <w:szCs w:val="24"/>
          <w:lang w:val="en-CA"/>
        </w:rPr>
        <w:t xml:space="preserve">“The trial judge rejected [the defendant’s expert’s] </w:t>
      </w:r>
      <w:r w:rsidR="0095302C" w:rsidRPr="0019776A">
        <w:rPr>
          <w:rFonts w:ascii="Arial" w:hAnsi="Arial" w:cs="Arial"/>
          <w:i/>
          <w:szCs w:val="24"/>
          <w:lang w:val="en-CA"/>
        </w:rPr>
        <w:t>conclusion and</w:t>
      </w:r>
      <w:r w:rsidRPr="0019776A">
        <w:rPr>
          <w:rFonts w:ascii="Arial" w:hAnsi="Arial" w:cs="Arial"/>
          <w:i/>
          <w:szCs w:val="24"/>
          <w:lang w:val="en-CA"/>
        </w:rPr>
        <w:t xml:space="preserve"> found that Mr. Clements’ negligence in fact contributed to Mrs. Clements’ injury.  However, he held that the plaintiff “through no fault of her own is unable to prove that ‘but for’ the defendant’s breaches, she would not have been injured”, due to the limitations of the scientific reconstruction evidence.  The trial judge went on to hold that in view of this impossibility of precise proof of the amount each factor contributed to the injury, “but for” causation should be dispensed with and a “material contribution” test applied.  He found Mr. Clements liable on this basis.”</w:t>
      </w:r>
    </w:p>
    <w:p w14:paraId="27A6638F" w14:textId="77777777" w:rsidR="00485E20" w:rsidRPr="0019776A" w:rsidRDefault="00485E20" w:rsidP="00485E20">
      <w:pPr>
        <w:jc w:val="both"/>
        <w:rPr>
          <w:rFonts w:ascii="Arial" w:hAnsi="Arial" w:cs="Arial"/>
          <w:sz w:val="24"/>
          <w:szCs w:val="24"/>
          <w:lang w:val="en-CA"/>
        </w:rPr>
      </w:pPr>
    </w:p>
    <w:p w14:paraId="35462251" w14:textId="6B439D78" w:rsidR="00485E20" w:rsidRPr="0019776A" w:rsidRDefault="00485E20" w:rsidP="00EF10C2">
      <w:pPr>
        <w:pStyle w:val="ListParagraph"/>
        <w:numPr>
          <w:ilvl w:val="0"/>
          <w:numId w:val="14"/>
        </w:numPr>
        <w:spacing w:line="276" w:lineRule="auto"/>
        <w:ind w:left="360"/>
        <w:jc w:val="both"/>
        <w:rPr>
          <w:rFonts w:ascii="Arial" w:hAnsi="Arial" w:cs="Arial"/>
          <w:sz w:val="24"/>
          <w:szCs w:val="24"/>
          <w:lang w:val="en-CA"/>
        </w:rPr>
      </w:pPr>
      <w:r w:rsidRPr="0019776A">
        <w:rPr>
          <w:rFonts w:ascii="Arial" w:hAnsi="Arial" w:cs="Arial"/>
          <w:sz w:val="24"/>
          <w:szCs w:val="24"/>
          <w:lang w:val="en-CA"/>
        </w:rPr>
        <w:t>The Court of Appeal overturned the trial judgement and found that Mrs.</w:t>
      </w:r>
      <w:r w:rsidR="0062508C">
        <w:rPr>
          <w:rFonts w:ascii="Arial" w:hAnsi="Arial" w:cs="Arial"/>
          <w:sz w:val="24"/>
          <w:szCs w:val="24"/>
          <w:lang w:val="en-CA"/>
        </w:rPr>
        <w:t xml:space="preserve"> </w:t>
      </w:r>
      <w:r w:rsidRPr="0019776A">
        <w:rPr>
          <w:rFonts w:ascii="Arial" w:hAnsi="Arial" w:cs="Arial"/>
          <w:sz w:val="24"/>
          <w:szCs w:val="24"/>
          <w:lang w:val="en-CA"/>
        </w:rPr>
        <w:t xml:space="preserve">Clements did not prove the cause on a “but for” standard, and that the material contribution test did not apply to the circumstances. </w:t>
      </w:r>
    </w:p>
    <w:p w14:paraId="5E9F4E32" w14:textId="77777777" w:rsidR="00485E20" w:rsidRPr="0019776A" w:rsidRDefault="00485E20" w:rsidP="00485E20">
      <w:pPr>
        <w:pStyle w:val="ListParagraph"/>
        <w:ind w:left="360"/>
        <w:jc w:val="both"/>
        <w:rPr>
          <w:rFonts w:ascii="Arial" w:hAnsi="Arial" w:cs="Arial"/>
          <w:sz w:val="24"/>
          <w:szCs w:val="24"/>
          <w:lang w:val="en-CA"/>
        </w:rPr>
      </w:pPr>
    </w:p>
    <w:p w14:paraId="2087CD07" w14:textId="77777777" w:rsidR="00485E20" w:rsidRPr="0019776A" w:rsidRDefault="00485E20" w:rsidP="00EF10C2">
      <w:pPr>
        <w:pStyle w:val="ListParagraph"/>
        <w:numPr>
          <w:ilvl w:val="0"/>
          <w:numId w:val="14"/>
        </w:numPr>
        <w:spacing w:line="276" w:lineRule="auto"/>
        <w:ind w:left="360"/>
        <w:jc w:val="both"/>
        <w:rPr>
          <w:rFonts w:ascii="Arial" w:hAnsi="Arial" w:cs="Arial"/>
          <w:sz w:val="24"/>
          <w:szCs w:val="24"/>
          <w:lang w:val="en-CA"/>
        </w:rPr>
      </w:pPr>
      <w:r w:rsidRPr="0019776A">
        <w:rPr>
          <w:rFonts w:ascii="Arial" w:hAnsi="Arial" w:cs="Arial"/>
          <w:sz w:val="24"/>
          <w:szCs w:val="24"/>
          <w:lang w:val="en-CA"/>
        </w:rPr>
        <w:t>The Supreme Court of Canada overturned the Court of Appeal decision and affirmed a number of basic principles:</w:t>
      </w:r>
    </w:p>
    <w:p w14:paraId="14D1387F" w14:textId="77777777" w:rsidR="00485E20" w:rsidRPr="0019776A" w:rsidRDefault="00485E20" w:rsidP="00485E20">
      <w:pPr>
        <w:widowControl w:val="0"/>
        <w:autoSpaceDE w:val="0"/>
        <w:autoSpaceDN w:val="0"/>
        <w:adjustRightInd w:val="0"/>
        <w:jc w:val="both"/>
        <w:rPr>
          <w:rFonts w:ascii="Arial" w:hAnsi="Arial" w:cs="Arial"/>
          <w:sz w:val="24"/>
          <w:szCs w:val="24"/>
          <w:lang w:val="en-CA"/>
        </w:rPr>
      </w:pPr>
      <w:r w:rsidRPr="0019776A">
        <w:rPr>
          <w:rFonts w:ascii="Arial" w:hAnsi="Arial" w:cs="Arial"/>
          <w:sz w:val="24"/>
          <w:szCs w:val="24"/>
          <w:lang w:val="en-CA"/>
        </w:rPr>
        <w:t> </w:t>
      </w:r>
    </w:p>
    <w:p w14:paraId="39712765" w14:textId="361C9E90" w:rsidR="00485E20" w:rsidRPr="0019776A" w:rsidRDefault="00485E20" w:rsidP="00EF10C2">
      <w:pPr>
        <w:pStyle w:val="ListParagraph"/>
        <w:widowControl w:val="0"/>
        <w:numPr>
          <w:ilvl w:val="0"/>
          <w:numId w:val="15"/>
        </w:numPr>
        <w:autoSpaceDE w:val="0"/>
        <w:autoSpaceDN w:val="0"/>
        <w:adjustRightInd w:val="0"/>
        <w:spacing w:line="276" w:lineRule="auto"/>
        <w:jc w:val="both"/>
        <w:rPr>
          <w:rFonts w:ascii="Arial" w:hAnsi="Arial" w:cs="Arial"/>
          <w:sz w:val="24"/>
          <w:szCs w:val="24"/>
          <w:lang w:val="en-CA"/>
        </w:rPr>
      </w:pPr>
      <w:r w:rsidRPr="0019776A">
        <w:rPr>
          <w:rFonts w:ascii="Arial" w:hAnsi="Arial" w:cs="Arial"/>
          <w:sz w:val="24"/>
          <w:szCs w:val="24"/>
          <w:lang w:val="en-CA"/>
        </w:rPr>
        <w:t>In Canadian law, the test for showing causation is the “but for” test.  </w:t>
      </w:r>
      <w:r w:rsidRPr="00996AE6">
        <w:rPr>
          <w:rFonts w:ascii="Arial" w:hAnsi="Arial" w:cs="Arial"/>
          <w:i/>
          <w:sz w:val="24"/>
          <w:szCs w:val="24"/>
          <w:lang w:val="en-CA"/>
        </w:rPr>
        <w:t xml:space="preserve"> “The plaintiff must show on a balance of probabilities that “but for” the defendant’s negligent act, the injury would not have occurred. Inherent in the phrase “but for” is the requirement that the defendant’s negligence was </w:t>
      </w:r>
      <w:r w:rsidRPr="00996AE6">
        <w:rPr>
          <w:rFonts w:ascii="Arial" w:hAnsi="Arial" w:cs="Arial"/>
          <w:i/>
          <w:iCs/>
          <w:sz w:val="24"/>
          <w:szCs w:val="24"/>
          <w:lang w:val="en-CA"/>
        </w:rPr>
        <w:t>necessary</w:t>
      </w:r>
      <w:r w:rsidRPr="00996AE6">
        <w:rPr>
          <w:rFonts w:ascii="Arial" w:hAnsi="Arial" w:cs="Arial"/>
          <w:i/>
          <w:sz w:val="24"/>
          <w:szCs w:val="24"/>
          <w:lang w:val="en-CA"/>
        </w:rPr>
        <w:t xml:space="preserve"> to bring about the injury ― in other words that the injury would not have occurred without the defendant’s negligence.” </w:t>
      </w:r>
      <w:r w:rsidRPr="0019776A">
        <w:rPr>
          <w:rFonts w:ascii="Arial" w:hAnsi="Arial" w:cs="Arial"/>
          <w:sz w:val="24"/>
          <w:szCs w:val="24"/>
          <w:lang w:val="en-CA"/>
        </w:rPr>
        <w:t xml:space="preserve">This is a factual </w:t>
      </w:r>
      <w:r w:rsidR="0095302C" w:rsidRPr="0019776A">
        <w:rPr>
          <w:rFonts w:ascii="Arial" w:hAnsi="Arial" w:cs="Arial"/>
          <w:sz w:val="24"/>
          <w:szCs w:val="24"/>
          <w:lang w:val="en-CA"/>
        </w:rPr>
        <w:t>determination,</w:t>
      </w:r>
      <w:r w:rsidRPr="0019776A">
        <w:rPr>
          <w:rFonts w:ascii="Arial" w:hAnsi="Arial" w:cs="Arial"/>
          <w:sz w:val="24"/>
          <w:szCs w:val="24"/>
          <w:lang w:val="en-CA"/>
        </w:rPr>
        <w:t xml:space="preserve"> and the onus remains on the plaintiff to prove this. </w:t>
      </w:r>
    </w:p>
    <w:p w14:paraId="45011D91" w14:textId="77777777" w:rsidR="00485E20" w:rsidRPr="0019776A" w:rsidRDefault="00485E20" w:rsidP="00485E20">
      <w:pPr>
        <w:pStyle w:val="ListParagraph"/>
        <w:widowControl w:val="0"/>
        <w:autoSpaceDE w:val="0"/>
        <w:autoSpaceDN w:val="0"/>
        <w:adjustRightInd w:val="0"/>
        <w:jc w:val="both"/>
        <w:rPr>
          <w:rFonts w:ascii="Arial" w:hAnsi="Arial" w:cs="Arial"/>
          <w:sz w:val="24"/>
          <w:szCs w:val="24"/>
          <w:lang w:val="en-CA"/>
        </w:rPr>
      </w:pPr>
    </w:p>
    <w:p w14:paraId="56D80F47" w14:textId="77777777" w:rsidR="00485E20" w:rsidRPr="0019776A" w:rsidRDefault="00485E20" w:rsidP="00EF10C2">
      <w:pPr>
        <w:pStyle w:val="ListParagraph"/>
        <w:widowControl w:val="0"/>
        <w:numPr>
          <w:ilvl w:val="0"/>
          <w:numId w:val="15"/>
        </w:numPr>
        <w:autoSpaceDE w:val="0"/>
        <w:autoSpaceDN w:val="0"/>
        <w:adjustRightInd w:val="0"/>
        <w:spacing w:line="276" w:lineRule="auto"/>
        <w:jc w:val="both"/>
        <w:rPr>
          <w:rFonts w:ascii="Arial" w:hAnsi="Arial" w:cs="Arial"/>
          <w:sz w:val="24"/>
          <w:szCs w:val="24"/>
          <w:lang w:val="en-CA"/>
        </w:rPr>
      </w:pPr>
      <w:r w:rsidRPr="0019776A">
        <w:rPr>
          <w:rFonts w:ascii="Arial" w:hAnsi="Arial" w:cs="Arial"/>
          <w:sz w:val="24"/>
          <w:szCs w:val="24"/>
          <w:lang w:val="en-CA"/>
        </w:rPr>
        <w:t>However</w:t>
      </w:r>
      <w:r w:rsidRPr="00996AE6">
        <w:rPr>
          <w:rFonts w:ascii="Arial" w:hAnsi="Arial" w:cs="Arial"/>
          <w:i/>
          <w:sz w:val="24"/>
          <w:szCs w:val="24"/>
          <w:lang w:val="en-CA"/>
        </w:rPr>
        <w:t>, “…the “but for” causation test must be applied in a robust common sense fashion. There is no need for scientific evidence of the precise contribution the defendant’s negligence made to the injury.”</w:t>
      </w:r>
      <w:r w:rsidRPr="0019776A">
        <w:rPr>
          <w:rFonts w:ascii="Arial" w:hAnsi="Arial" w:cs="Arial"/>
          <w:sz w:val="24"/>
          <w:szCs w:val="24"/>
          <w:lang w:val="en-CA"/>
        </w:rPr>
        <w:t> </w:t>
      </w:r>
    </w:p>
    <w:p w14:paraId="39CEFB33" w14:textId="77777777" w:rsidR="00485E20" w:rsidRPr="0019776A" w:rsidRDefault="00485E20" w:rsidP="00485E20">
      <w:pPr>
        <w:pStyle w:val="ListParagraph"/>
        <w:jc w:val="both"/>
        <w:rPr>
          <w:rFonts w:ascii="Arial" w:hAnsi="Arial" w:cs="Arial"/>
          <w:sz w:val="24"/>
          <w:szCs w:val="24"/>
          <w:lang w:val="en-CA"/>
        </w:rPr>
      </w:pPr>
    </w:p>
    <w:p w14:paraId="5487964A" w14:textId="29FA27B4" w:rsidR="00485E20" w:rsidRPr="00996AE6" w:rsidRDefault="00485E20" w:rsidP="00EF10C2">
      <w:pPr>
        <w:pStyle w:val="ListParagraph"/>
        <w:widowControl w:val="0"/>
        <w:numPr>
          <w:ilvl w:val="0"/>
          <w:numId w:val="15"/>
        </w:numPr>
        <w:autoSpaceDE w:val="0"/>
        <w:autoSpaceDN w:val="0"/>
        <w:adjustRightInd w:val="0"/>
        <w:spacing w:line="276" w:lineRule="auto"/>
        <w:jc w:val="both"/>
        <w:rPr>
          <w:rFonts w:ascii="Arial" w:hAnsi="Arial" w:cs="Arial"/>
          <w:i/>
          <w:sz w:val="24"/>
          <w:szCs w:val="24"/>
          <w:lang w:val="en-CA"/>
        </w:rPr>
      </w:pPr>
      <w:r w:rsidRPr="00996AE6">
        <w:rPr>
          <w:rFonts w:ascii="Arial" w:hAnsi="Arial" w:cs="Arial"/>
          <w:i/>
          <w:sz w:val="24"/>
          <w:szCs w:val="24"/>
          <w:lang w:val="en-CA"/>
        </w:rPr>
        <w:t>“Evidence connecting the breach of duty to the injury suffered may permit the judge, depending on the circumstances, to infer that the defendant’s negligence probably caused the loss.” </w:t>
      </w:r>
    </w:p>
    <w:p w14:paraId="709D68A6" w14:textId="77777777" w:rsidR="00485E20" w:rsidRPr="0019776A" w:rsidRDefault="00485E20" w:rsidP="00485E20">
      <w:pPr>
        <w:pStyle w:val="ListParagraph"/>
        <w:jc w:val="both"/>
        <w:rPr>
          <w:rFonts w:ascii="Arial" w:hAnsi="Arial" w:cs="Arial"/>
          <w:sz w:val="24"/>
          <w:szCs w:val="24"/>
          <w:lang w:val="en-CA"/>
        </w:rPr>
      </w:pPr>
    </w:p>
    <w:p w14:paraId="61C4AB5A" w14:textId="029E4AAE" w:rsidR="00485E20" w:rsidRPr="00996AE6" w:rsidRDefault="00485E20" w:rsidP="00EF10C2">
      <w:pPr>
        <w:pStyle w:val="ListParagraph"/>
        <w:widowControl w:val="0"/>
        <w:numPr>
          <w:ilvl w:val="0"/>
          <w:numId w:val="15"/>
        </w:numPr>
        <w:autoSpaceDE w:val="0"/>
        <w:autoSpaceDN w:val="0"/>
        <w:adjustRightInd w:val="0"/>
        <w:spacing w:line="276" w:lineRule="auto"/>
        <w:jc w:val="both"/>
        <w:rPr>
          <w:rFonts w:ascii="Arial" w:hAnsi="Arial" w:cs="Arial"/>
          <w:i/>
          <w:sz w:val="24"/>
          <w:szCs w:val="24"/>
          <w:lang w:val="en-CA"/>
        </w:rPr>
      </w:pPr>
      <w:r w:rsidRPr="00996AE6">
        <w:rPr>
          <w:rFonts w:ascii="Arial" w:hAnsi="Arial" w:cs="Arial"/>
          <w:i/>
          <w:sz w:val="24"/>
          <w:szCs w:val="24"/>
          <w:lang w:val="en-CA"/>
        </w:rPr>
        <w:t>“Where “but for” causation is established by inference only, it is open to the defendant to argue or call evidence that the accident would have happened without the defendant’s negligence, i.e. that the negligence was not a necessary cause of the injury, which was, in any event, inevitable.” </w:t>
      </w:r>
    </w:p>
    <w:p w14:paraId="50EE900F" w14:textId="77777777" w:rsidR="00485E20" w:rsidRPr="0019776A" w:rsidRDefault="00485E20" w:rsidP="00485E20">
      <w:pPr>
        <w:widowControl w:val="0"/>
        <w:autoSpaceDE w:val="0"/>
        <w:autoSpaceDN w:val="0"/>
        <w:adjustRightInd w:val="0"/>
        <w:jc w:val="both"/>
        <w:rPr>
          <w:rFonts w:ascii="Arial" w:hAnsi="Arial" w:cs="Arial"/>
          <w:sz w:val="24"/>
          <w:szCs w:val="24"/>
          <w:lang w:val="en-CA"/>
        </w:rPr>
      </w:pPr>
    </w:p>
    <w:p w14:paraId="6B196CA8" w14:textId="77777777" w:rsidR="00485E20" w:rsidRPr="0019776A" w:rsidRDefault="00485E20" w:rsidP="00EF10C2">
      <w:pPr>
        <w:pStyle w:val="ListParagraph"/>
        <w:widowControl w:val="0"/>
        <w:numPr>
          <w:ilvl w:val="0"/>
          <w:numId w:val="10"/>
        </w:numPr>
        <w:autoSpaceDE w:val="0"/>
        <w:autoSpaceDN w:val="0"/>
        <w:adjustRightInd w:val="0"/>
        <w:spacing w:line="276" w:lineRule="auto"/>
        <w:ind w:left="360"/>
        <w:jc w:val="both"/>
        <w:rPr>
          <w:rFonts w:ascii="Arial" w:hAnsi="Arial" w:cs="Arial"/>
          <w:sz w:val="24"/>
          <w:szCs w:val="24"/>
          <w:lang w:val="en-CA"/>
        </w:rPr>
      </w:pPr>
      <w:r w:rsidRPr="0019776A">
        <w:rPr>
          <w:rFonts w:ascii="Arial" w:hAnsi="Arial" w:cs="Arial"/>
          <w:sz w:val="24"/>
          <w:szCs w:val="24"/>
          <w:lang w:val="en-CA"/>
        </w:rPr>
        <w:t>Having confirmed those principles, the Court turned to the issue of when, if ever, the “material contribution test” can apply.</w:t>
      </w:r>
    </w:p>
    <w:p w14:paraId="496A67BC" w14:textId="77777777" w:rsidR="00485E20" w:rsidRPr="0019776A" w:rsidRDefault="00485E20" w:rsidP="00485E20">
      <w:pPr>
        <w:widowControl w:val="0"/>
        <w:autoSpaceDE w:val="0"/>
        <w:autoSpaceDN w:val="0"/>
        <w:adjustRightInd w:val="0"/>
        <w:jc w:val="both"/>
        <w:rPr>
          <w:rFonts w:ascii="Arial" w:hAnsi="Arial" w:cs="Arial"/>
          <w:sz w:val="24"/>
          <w:szCs w:val="24"/>
          <w:lang w:val="en-CA"/>
        </w:rPr>
      </w:pPr>
    </w:p>
    <w:p w14:paraId="121A7722" w14:textId="77777777" w:rsidR="00485E20" w:rsidRPr="0019776A" w:rsidRDefault="00485E20" w:rsidP="00EF10C2">
      <w:pPr>
        <w:pStyle w:val="ListParagraph"/>
        <w:widowControl w:val="0"/>
        <w:numPr>
          <w:ilvl w:val="0"/>
          <w:numId w:val="11"/>
        </w:numPr>
        <w:autoSpaceDE w:val="0"/>
        <w:autoSpaceDN w:val="0"/>
        <w:adjustRightInd w:val="0"/>
        <w:spacing w:line="276" w:lineRule="auto"/>
        <w:ind w:left="714" w:hanging="357"/>
        <w:jc w:val="both"/>
        <w:rPr>
          <w:rFonts w:ascii="Arial" w:hAnsi="Arial" w:cs="Arial"/>
          <w:sz w:val="24"/>
          <w:szCs w:val="24"/>
          <w:lang w:val="en-CA"/>
        </w:rPr>
      </w:pPr>
      <w:r w:rsidRPr="0019776A">
        <w:rPr>
          <w:rFonts w:ascii="Arial" w:hAnsi="Arial" w:cs="Arial"/>
          <w:sz w:val="24"/>
          <w:szCs w:val="24"/>
          <w:lang w:val="en-CA"/>
        </w:rPr>
        <w:t>The Court first noted that the material contribution test is not really a causation test at all, but a substitution for it. The Court explained at para 14:</w:t>
      </w:r>
    </w:p>
    <w:p w14:paraId="1C59130B" w14:textId="77777777" w:rsidR="00485E20" w:rsidRPr="0019776A" w:rsidRDefault="00485E20" w:rsidP="00485E20">
      <w:pPr>
        <w:widowControl w:val="0"/>
        <w:autoSpaceDE w:val="0"/>
        <w:autoSpaceDN w:val="0"/>
        <w:adjustRightInd w:val="0"/>
        <w:jc w:val="both"/>
        <w:rPr>
          <w:rFonts w:ascii="Arial" w:hAnsi="Arial" w:cs="Arial"/>
          <w:sz w:val="24"/>
          <w:szCs w:val="24"/>
          <w:lang w:val="en-CA"/>
        </w:rPr>
      </w:pPr>
    </w:p>
    <w:p w14:paraId="203C4F9C" w14:textId="77777777" w:rsidR="00485E20" w:rsidRPr="0019776A" w:rsidRDefault="00485E20" w:rsidP="00485E20">
      <w:pPr>
        <w:widowControl w:val="0"/>
        <w:autoSpaceDE w:val="0"/>
        <w:autoSpaceDN w:val="0"/>
        <w:adjustRightInd w:val="0"/>
        <w:ind w:left="714" w:right="720"/>
        <w:jc w:val="both"/>
        <w:rPr>
          <w:rFonts w:ascii="Arial" w:hAnsi="Arial" w:cs="Arial"/>
          <w:i/>
          <w:szCs w:val="24"/>
          <w:lang w:val="en-CA"/>
        </w:rPr>
      </w:pPr>
      <w:r w:rsidRPr="0019776A">
        <w:rPr>
          <w:rFonts w:ascii="Arial" w:hAnsi="Arial" w:cs="Arial"/>
          <w:i/>
          <w:szCs w:val="24"/>
          <w:lang w:val="en-CA"/>
        </w:rPr>
        <w:t>. . . “material contribution” does not signify a test of causation at all; rather it is a policy-driven rule of law designed to permit plaintiffs to recover in such cases despite their failure to prove causation. In such cases, plaintiffs are permitted to “jump the evidentiary gap”: That is because to deny liability “would offend basic notions of fairness and justice”: </w:t>
      </w:r>
      <w:r w:rsidRPr="0019776A">
        <w:rPr>
          <w:rFonts w:ascii="Arial" w:hAnsi="Arial" w:cs="Arial"/>
          <w:i/>
          <w:iCs/>
          <w:szCs w:val="24"/>
          <w:lang w:val="en-CA"/>
        </w:rPr>
        <w:t>Hanke v.</w:t>
      </w:r>
      <w:r w:rsidRPr="0019776A">
        <w:rPr>
          <w:rFonts w:ascii="Arial" w:hAnsi="Arial" w:cs="Arial"/>
          <w:i/>
          <w:szCs w:val="24"/>
          <w:lang w:val="en-CA"/>
        </w:rPr>
        <w:t> </w:t>
      </w:r>
      <w:proofErr w:type="spellStart"/>
      <w:r w:rsidRPr="0019776A">
        <w:rPr>
          <w:rFonts w:ascii="Arial" w:hAnsi="Arial" w:cs="Arial"/>
          <w:i/>
          <w:iCs/>
          <w:szCs w:val="24"/>
          <w:lang w:val="en-CA"/>
        </w:rPr>
        <w:t>Resurfice</w:t>
      </w:r>
      <w:proofErr w:type="spellEnd"/>
      <w:r w:rsidRPr="0019776A">
        <w:rPr>
          <w:rFonts w:ascii="Arial" w:hAnsi="Arial" w:cs="Arial"/>
          <w:i/>
          <w:iCs/>
          <w:szCs w:val="24"/>
          <w:lang w:val="en-CA"/>
        </w:rPr>
        <w:t xml:space="preserve"> Corp.</w:t>
      </w:r>
      <w:r w:rsidRPr="0019776A">
        <w:rPr>
          <w:rFonts w:ascii="Arial" w:hAnsi="Arial" w:cs="Arial"/>
          <w:i/>
          <w:szCs w:val="24"/>
          <w:lang w:val="en-CA"/>
        </w:rPr>
        <w:t>, para. 25.</w:t>
      </w:r>
    </w:p>
    <w:p w14:paraId="44C6D981" w14:textId="77777777" w:rsidR="00485E20" w:rsidRPr="0019776A" w:rsidRDefault="00485E20" w:rsidP="00485E20">
      <w:pPr>
        <w:widowControl w:val="0"/>
        <w:autoSpaceDE w:val="0"/>
        <w:autoSpaceDN w:val="0"/>
        <w:adjustRightInd w:val="0"/>
        <w:jc w:val="both"/>
        <w:rPr>
          <w:rFonts w:ascii="Arial" w:hAnsi="Arial" w:cs="Arial"/>
          <w:i/>
          <w:sz w:val="24"/>
          <w:szCs w:val="24"/>
          <w:lang w:val="en-CA"/>
        </w:rPr>
      </w:pPr>
    </w:p>
    <w:p w14:paraId="1B930ECB" w14:textId="77777777" w:rsidR="00485E20" w:rsidRPr="0019776A" w:rsidRDefault="00485E20" w:rsidP="00EF10C2">
      <w:pPr>
        <w:pStyle w:val="ListParagraph"/>
        <w:widowControl w:val="0"/>
        <w:numPr>
          <w:ilvl w:val="0"/>
          <w:numId w:val="16"/>
        </w:numPr>
        <w:autoSpaceDE w:val="0"/>
        <w:autoSpaceDN w:val="0"/>
        <w:adjustRightInd w:val="0"/>
        <w:spacing w:line="276" w:lineRule="auto"/>
        <w:ind w:left="360"/>
        <w:jc w:val="both"/>
        <w:rPr>
          <w:rFonts w:ascii="Arial" w:hAnsi="Arial" w:cs="Arial"/>
          <w:sz w:val="24"/>
          <w:szCs w:val="24"/>
          <w:lang w:val="en-CA"/>
        </w:rPr>
      </w:pPr>
      <w:proofErr w:type="gramStart"/>
      <w:r w:rsidRPr="0019776A">
        <w:rPr>
          <w:rFonts w:ascii="Arial" w:hAnsi="Arial" w:cs="Arial"/>
          <w:sz w:val="24"/>
          <w:szCs w:val="24"/>
          <w:lang w:val="en-CA"/>
        </w:rPr>
        <w:t>So</w:t>
      </w:r>
      <w:proofErr w:type="gramEnd"/>
      <w:r w:rsidRPr="0019776A">
        <w:rPr>
          <w:rFonts w:ascii="Arial" w:hAnsi="Arial" w:cs="Arial"/>
          <w:sz w:val="24"/>
          <w:szCs w:val="24"/>
          <w:lang w:val="en-CA"/>
        </w:rPr>
        <w:t xml:space="preserve"> what then are these exceptional cases in which proof of factual causation can be replaced by proof of a material contribution to the risk that gave rise to the injury? The answer is:</w:t>
      </w:r>
    </w:p>
    <w:p w14:paraId="73AB4EEB" w14:textId="77777777" w:rsidR="00485E20" w:rsidRPr="0019776A" w:rsidRDefault="00485E20" w:rsidP="00485E20">
      <w:pPr>
        <w:pStyle w:val="ListParagraph"/>
        <w:widowControl w:val="0"/>
        <w:autoSpaceDE w:val="0"/>
        <w:autoSpaceDN w:val="0"/>
        <w:adjustRightInd w:val="0"/>
        <w:ind w:left="360"/>
        <w:jc w:val="both"/>
        <w:rPr>
          <w:rFonts w:ascii="Arial" w:hAnsi="Arial" w:cs="Arial"/>
          <w:sz w:val="24"/>
          <w:szCs w:val="24"/>
          <w:lang w:val="en-CA"/>
        </w:rPr>
      </w:pPr>
    </w:p>
    <w:p w14:paraId="0DFF9106" w14:textId="77777777" w:rsidR="00485E20" w:rsidRPr="0019776A" w:rsidRDefault="00485E20" w:rsidP="00EF10C2">
      <w:pPr>
        <w:pStyle w:val="ListParagraph"/>
        <w:widowControl w:val="0"/>
        <w:numPr>
          <w:ilvl w:val="0"/>
          <w:numId w:val="17"/>
        </w:numPr>
        <w:autoSpaceDE w:val="0"/>
        <w:autoSpaceDN w:val="0"/>
        <w:adjustRightInd w:val="0"/>
        <w:spacing w:line="276" w:lineRule="auto"/>
        <w:jc w:val="both"/>
        <w:rPr>
          <w:rFonts w:ascii="Arial" w:hAnsi="Arial" w:cs="Arial"/>
          <w:sz w:val="24"/>
          <w:szCs w:val="24"/>
          <w:lang w:val="en-CA"/>
        </w:rPr>
      </w:pPr>
      <w:r w:rsidRPr="0019776A">
        <w:rPr>
          <w:rFonts w:ascii="Arial" w:hAnsi="Arial" w:cs="Arial"/>
          <w:sz w:val="24"/>
          <w:szCs w:val="24"/>
          <w:lang w:val="en-CA"/>
        </w:rPr>
        <w:t>Where the defendant has acted negligently in a way that exposed the plaintiff to an unreasonable risk of injury, and</w:t>
      </w:r>
    </w:p>
    <w:p w14:paraId="206B4C34" w14:textId="77777777" w:rsidR="00485E20" w:rsidRPr="0019776A" w:rsidRDefault="00485E20" w:rsidP="00485E20">
      <w:pPr>
        <w:pStyle w:val="ListParagraph"/>
        <w:ind w:left="1080"/>
        <w:jc w:val="both"/>
        <w:rPr>
          <w:rFonts w:ascii="Arial" w:hAnsi="Arial" w:cs="Arial"/>
          <w:sz w:val="24"/>
          <w:szCs w:val="24"/>
          <w:lang w:val="en-CA"/>
        </w:rPr>
      </w:pPr>
    </w:p>
    <w:p w14:paraId="5CEBAAB0" w14:textId="49AD427A" w:rsidR="00485E20" w:rsidRDefault="00485E20" w:rsidP="00EF10C2">
      <w:pPr>
        <w:pStyle w:val="ListParagraph"/>
        <w:widowControl w:val="0"/>
        <w:numPr>
          <w:ilvl w:val="0"/>
          <w:numId w:val="17"/>
        </w:numPr>
        <w:autoSpaceDE w:val="0"/>
        <w:autoSpaceDN w:val="0"/>
        <w:adjustRightInd w:val="0"/>
        <w:spacing w:line="276" w:lineRule="auto"/>
        <w:jc w:val="both"/>
        <w:rPr>
          <w:rFonts w:ascii="Arial" w:hAnsi="Arial" w:cs="Arial"/>
          <w:sz w:val="24"/>
          <w:szCs w:val="24"/>
          <w:lang w:val="en-CA"/>
        </w:rPr>
      </w:pPr>
      <w:r w:rsidRPr="0019776A">
        <w:rPr>
          <w:rFonts w:ascii="Arial" w:hAnsi="Arial" w:cs="Arial"/>
          <w:sz w:val="24"/>
          <w:szCs w:val="24"/>
          <w:lang w:val="en-CA"/>
        </w:rPr>
        <w:t>It is “impossible to prove” that the defendant’s negligence caused the injury by a “but for” analysis. </w:t>
      </w:r>
    </w:p>
    <w:p w14:paraId="16DC193D" w14:textId="60A31060" w:rsidR="00D23478" w:rsidRPr="00D23478" w:rsidRDefault="00D23478" w:rsidP="00D23478">
      <w:pPr>
        <w:widowControl w:val="0"/>
        <w:autoSpaceDE w:val="0"/>
        <w:autoSpaceDN w:val="0"/>
        <w:adjustRightInd w:val="0"/>
        <w:spacing w:line="276" w:lineRule="auto"/>
        <w:jc w:val="both"/>
        <w:rPr>
          <w:rFonts w:ascii="Arial" w:hAnsi="Arial" w:cs="Arial"/>
          <w:sz w:val="24"/>
          <w:szCs w:val="24"/>
          <w:lang w:val="en-CA"/>
        </w:rPr>
      </w:pPr>
    </w:p>
    <w:p w14:paraId="6BAB43E2" w14:textId="62E074AE" w:rsidR="00281DFB" w:rsidRDefault="00485E20" w:rsidP="00281DFB">
      <w:pPr>
        <w:widowControl w:val="0"/>
        <w:autoSpaceDE w:val="0"/>
        <w:autoSpaceDN w:val="0"/>
        <w:adjustRightInd w:val="0"/>
        <w:ind w:left="720" w:right="720"/>
        <w:jc w:val="both"/>
        <w:rPr>
          <w:rFonts w:ascii="Arial" w:hAnsi="Arial" w:cs="Arial"/>
          <w:i/>
          <w:szCs w:val="24"/>
          <w:lang w:val="en-CA"/>
        </w:rPr>
      </w:pPr>
      <w:r w:rsidRPr="0019776A">
        <w:rPr>
          <w:rFonts w:ascii="Arial" w:hAnsi="Arial" w:cs="Arial"/>
          <w:i/>
          <w:szCs w:val="24"/>
          <w:lang w:val="en-CA"/>
        </w:rPr>
        <w:t>“What then are the cases referring to when they say that it must be “impossible” to prove “but for” causation as a precondition to a material contribution to risk approach?  The answer emerges from the facts of the cases that have adopted such an approach.  Typically, there are a number of tortfeasors.  All are at fault, and one or more has in fact caused the plaintiff’s injury.  The plaintiff would not have been injured “but for” their negligence, viewed globally.  However, because each can point the finger at the other, it is impossible for the plaintiff to show on a balance of probabilities that any one of them in fact caused her injury.  This is the impossibility</w:t>
      </w:r>
      <w:r w:rsidR="00205BF4">
        <w:rPr>
          <w:rFonts w:ascii="Arial" w:hAnsi="Arial" w:cs="Arial"/>
          <w:i/>
          <w:szCs w:val="24"/>
          <w:lang w:val="en-CA"/>
        </w:rPr>
        <w:t xml:space="preserve"> </w:t>
      </w:r>
      <w:r w:rsidRPr="0019776A">
        <w:rPr>
          <w:rFonts w:ascii="Arial" w:hAnsi="Arial" w:cs="Arial"/>
          <w:i/>
          <w:szCs w:val="24"/>
          <w:lang w:val="en-CA"/>
        </w:rPr>
        <w:t>of which </w:t>
      </w:r>
      <w:proofErr w:type="gramStart"/>
      <w:r w:rsidRPr="0019776A">
        <w:rPr>
          <w:rFonts w:ascii="Arial" w:hAnsi="Arial" w:cs="Arial"/>
          <w:i/>
          <w:iCs/>
          <w:szCs w:val="24"/>
          <w:lang w:val="en-CA"/>
        </w:rPr>
        <w:t>Cook</w:t>
      </w:r>
      <w:proofErr w:type="gramEnd"/>
      <w:r w:rsidRPr="0019776A">
        <w:rPr>
          <w:rFonts w:ascii="Arial" w:hAnsi="Arial" w:cs="Arial"/>
          <w:i/>
          <w:iCs/>
          <w:szCs w:val="24"/>
          <w:lang w:val="en-CA"/>
        </w:rPr>
        <w:t> </w:t>
      </w:r>
      <w:r w:rsidRPr="0019776A">
        <w:rPr>
          <w:rFonts w:ascii="Arial" w:hAnsi="Arial" w:cs="Arial"/>
          <w:i/>
          <w:szCs w:val="24"/>
          <w:lang w:val="en-CA"/>
        </w:rPr>
        <w:t>and the multiple employer mesothelioma cases speak”.</w:t>
      </w:r>
    </w:p>
    <w:p w14:paraId="07772837" w14:textId="2A02681D" w:rsidR="00D23478" w:rsidRDefault="00D23478" w:rsidP="005D227F">
      <w:pPr>
        <w:widowControl w:val="0"/>
        <w:autoSpaceDE w:val="0"/>
        <w:autoSpaceDN w:val="0"/>
        <w:adjustRightInd w:val="0"/>
        <w:ind w:right="720"/>
        <w:jc w:val="both"/>
        <w:rPr>
          <w:rFonts w:ascii="Arial" w:hAnsi="Arial" w:cs="Arial"/>
          <w:i/>
          <w:szCs w:val="24"/>
          <w:lang w:val="en-CA"/>
        </w:rPr>
      </w:pPr>
    </w:p>
    <w:p w14:paraId="3960EBB0" w14:textId="594A7F0E" w:rsidR="005D227F" w:rsidRPr="005D227F" w:rsidRDefault="005D227F" w:rsidP="00EF10C2">
      <w:pPr>
        <w:pStyle w:val="ListParagraph"/>
        <w:widowControl w:val="0"/>
        <w:numPr>
          <w:ilvl w:val="1"/>
          <w:numId w:val="33"/>
        </w:numPr>
        <w:autoSpaceDE w:val="0"/>
        <w:autoSpaceDN w:val="0"/>
        <w:adjustRightInd w:val="0"/>
        <w:ind w:left="360" w:right="720"/>
        <w:jc w:val="both"/>
        <w:rPr>
          <w:rFonts w:ascii="Arial" w:hAnsi="Arial" w:cs="Arial"/>
          <w:b/>
          <w:sz w:val="24"/>
          <w:szCs w:val="24"/>
          <w:lang w:val="en-CA"/>
        </w:rPr>
      </w:pPr>
      <w:r w:rsidRPr="005D227F">
        <w:rPr>
          <w:rFonts w:ascii="Arial" w:hAnsi="Arial" w:cs="Arial"/>
          <w:b/>
          <w:sz w:val="24"/>
          <w:szCs w:val="24"/>
          <w:lang w:val="en-CA"/>
        </w:rPr>
        <w:t>The Fourth Element – Damages:</w:t>
      </w:r>
    </w:p>
    <w:p w14:paraId="4A85ECB3" w14:textId="66AF3F8C" w:rsidR="005D227F" w:rsidRDefault="005D227F" w:rsidP="005D227F">
      <w:pPr>
        <w:widowControl w:val="0"/>
        <w:autoSpaceDE w:val="0"/>
        <w:autoSpaceDN w:val="0"/>
        <w:adjustRightInd w:val="0"/>
        <w:ind w:right="720"/>
        <w:jc w:val="both"/>
        <w:rPr>
          <w:rFonts w:ascii="Arial" w:hAnsi="Arial" w:cs="Arial"/>
          <w:b/>
          <w:szCs w:val="24"/>
          <w:lang w:val="en-CA"/>
        </w:rPr>
      </w:pPr>
    </w:p>
    <w:p w14:paraId="229AF89D" w14:textId="1CC360E4" w:rsidR="00853BCA" w:rsidRPr="00624F72" w:rsidRDefault="005D227F" w:rsidP="00EF10C2">
      <w:pPr>
        <w:pStyle w:val="ListParagraph"/>
        <w:widowControl w:val="0"/>
        <w:numPr>
          <w:ilvl w:val="0"/>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 xml:space="preserve">The final element of an action in negligence is that of proving damages. </w:t>
      </w:r>
      <w:r w:rsidR="00853BCA">
        <w:rPr>
          <w:rFonts w:ascii="Arial" w:hAnsi="Arial" w:cs="Arial"/>
          <w:sz w:val="24"/>
          <w:szCs w:val="24"/>
          <w:lang w:val="en-CA"/>
        </w:rPr>
        <w:t>This element of the course will have its own lecture devoted to it, but we will be briefly</w:t>
      </w:r>
      <w:r w:rsidR="0035127A">
        <w:rPr>
          <w:rFonts w:ascii="Arial" w:hAnsi="Arial" w:cs="Arial"/>
          <w:sz w:val="24"/>
          <w:szCs w:val="24"/>
          <w:lang w:val="en-CA"/>
        </w:rPr>
        <w:t xml:space="preserve"> introducing the concept here</w:t>
      </w:r>
      <w:r w:rsidR="00853BCA">
        <w:rPr>
          <w:rFonts w:ascii="Arial" w:hAnsi="Arial" w:cs="Arial"/>
          <w:sz w:val="24"/>
          <w:szCs w:val="24"/>
          <w:lang w:val="en-CA"/>
        </w:rPr>
        <w:t>.</w:t>
      </w:r>
    </w:p>
    <w:p w14:paraId="7AB9039D" w14:textId="77777777" w:rsidR="00624F72" w:rsidRDefault="00624F72" w:rsidP="00624F72">
      <w:pPr>
        <w:pStyle w:val="ListParagraph"/>
        <w:widowControl w:val="0"/>
        <w:autoSpaceDE w:val="0"/>
        <w:autoSpaceDN w:val="0"/>
        <w:adjustRightInd w:val="0"/>
        <w:ind w:left="540" w:right="720"/>
        <w:jc w:val="both"/>
        <w:rPr>
          <w:rFonts w:ascii="Arial" w:hAnsi="Arial" w:cs="Arial"/>
          <w:sz w:val="24"/>
          <w:szCs w:val="24"/>
          <w:lang w:val="en-CA"/>
        </w:rPr>
      </w:pPr>
    </w:p>
    <w:p w14:paraId="0E68C893" w14:textId="7A5052A2" w:rsidR="00624F72" w:rsidRPr="00624F72" w:rsidRDefault="00624F72" w:rsidP="00EF10C2">
      <w:pPr>
        <w:pStyle w:val="ListParagraph"/>
        <w:widowControl w:val="0"/>
        <w:numPr>
          <w:ilvl w:val="0"/>
          <w:numId w:val="34"/>
        </w:numPr>
        <w:autoSpaceDE w:val="0"/>
        <w:autoSpaceDN w:val="0"/>
        <w:adjustRightInd w:val="0"/>
        <w:ind w:right="720"/>
        <w:jc w:val="both"/>
        <w:rPr>
          <w:rFonts w:ascii="Arial" w:hAnsi="Arial" w:cs="Arial"/>
          <w:sz w:val="24"/>
          <w:szCs w:val="24"/>
          <w:lang w:val="en-CA"/>
        </w:rPr>
      </w:pPr>
      <w:r>
        <w:rPr>
          <w:rFonts w:ascii="Arial" w:hAnsi="Arial" w:cs="Arial"/>
          <w:sz w:val="24"/>
          <w:szCs w:val="24"/>
          <w:lang w:val="en-CA"/>
        </w:rPr>
        <w:t>As shall be seen in later lectures, there is a substantial amount of jurisprudence relating to each head of damage, and each requires its own evidentiary burden and legal tests that must be met.</w:t>
      </w:r>
    </w:p>
    <w:p w14:paraId="22ADCDB7" w14:textId="572120E0" w:rsidR="00853BCA" w:rsidRDefault="00853BCA" w:rsidP="00853BCA">
      <w:pPr>
        <w:widowControl w:val="0"/>
        <w:autoSpaceDE w:val="0"/>
        <w:autoSpaceDN w:val="0"/>
        <w:adjustRightInd w:val="0"/>
        <w:ind w:right="720"/>
        <w:jc w:val="both"/>
        <w:rPr>
          <w:rFonts w:ascii="Arial" w:hAnsi="Arial" w:cs="Arial"/>
          <w:b/>
          <w:sz w:val="24"/>
          <w:szCs w:val="24"/>
          <w:lang w:val="en-CA"/>
        </w:rPr>
      </w:pPr>
    </w:p>
    <w:p w14:paraId="430FA41C" w14:textId="08E75E86" w:rsidR="00A75117" w:rsidRPr="00A75117" w:rsidRDefault="00853BCA" w:rsidP="00EF10C2">
      <w:pPr>
        <w:pStyle w:val="ListParagraph"/>
        <w:widowControl w:val="0"/>
        <w:numPr>
          <w:ilvl w:val="0"/>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 xml:space="preserve">The driving force </w:t>
      </w:r>
      <w:r w:rsidR="00A75117">
        <w:rPr>
          <w:rFonts w:ascii="Arial" w:hAnsi="Arial" w:cs="Arial"/>
          <w:sz w:val="24"/>
          <w:szCs w:val="24"/>
          <w:lang w:val="en-CA"/>
        </w:rPr>
        <w:t>behind</w:t>
      </w:r>
      <w:r>
        <w:rPr>
          <w:rFonts w:ascii="Arial" w:hAnsi="Arial" w:cs="Arial"/>
          <w:sz w:val="24"/>
          <w:szCs w:val="24"/>
          <w:lang w:val="en-CA"/>
        </w:rPr>
        <w:t xml:space="preserve"> the law of torts, and the </w:t>
      </w:r>
      <w:r w:rsidR="00A75117">
        <w:rPr>
          <w:rFonts w:ascii="Arial" w:hAnsi="Arial" w:cs="Arial"/>
          <w:sz w:val="24"/>
          <w:szCs w:val="24"/>
          <w:lang w:val="en-CA"/>
        </w:rPr>
        <w:t>justification for award</w:t>
      </w:r>
      <w:r w:rsidR="00624F72">
        <w:rPr>
          <w:rFonts w:ascii="Arial" w:hAnsi="Arial" w:cs="Arial"/>
          <w:sz w:val="24"/>
          <w:szCs w:val="24"/>
          <w:lang w:val="en-CA"/>
        </w:rPr>
        <w:t>ing</w:t>
      </w:r>
      <w:r w:rsidR="00A75117">
        <w:rPr>
          <w:rFonts w:ascii="Arial" w:hAnsi="Arial" w:cs="Arial"/>
          <w:sz w:val="24"/>
          <w:szCs w:val="24"/>
          <w:lang w:val="en-CA"/>
        </w:rPr>
        <w:t xml:space="preserve"> damages,</w:t>
      </w:r>
      <w:r>
        <w:rPr>
          <w:rFonts w:ascii="Arial" w:hAnsi="Arial" w:cs="Arial"/>
          <w:sz w:val="24"/>
          <w:szCs w:val="24"/>
          <w:lang w:val="en-CA"/>
        </w:rPr>
        <w:t xml:space="preserve"> was described in </w:t>
      </w:r>
      <w:r w:rsidR="00A75117" w:rsidRPr="00A75117">
        <w:rPr>
          <w:rFonts w:ascii="Arial" w:hAnsi="Arial" w:cs="Arial"/>
          <w:i/>
          <w:sz w:val="24"/>
          <w:szCs w:val="24"/>
          <w:lang w:val="en-CA"/>
        </w:rPr>
        <w:t>Andrews v. Grand &amp; Toy Alberta Ltd.,</w:t>
      </w:r>
      <w:r w:rsidR="00A75117" w:rsidRPr="00A75117">
        <w:rPr>
          <w:rFonts w:ascii="Arial" w:hAnsi="Arial" w:cs="Arial"/>
          <w:sz w:val="24"/>
          <w:szCs w:val="24"/>
          <w:lang w:val="en-CA"/>
        </w:rPr>
        <w:t xml:space="preserve"> </w:t>
      </w:r>
      <w:hyperlink r:id="rId47" w:history="1">
        <w:r w:rsidR="00A75117" w:rsidRPr="00A75117">
          <w:rPr>
            <w:rStyle w:val="Hyperlink"/>
            <w:rFonts w:ascii="Arial" w:hAnsi="Arial" w:cs="Arial"/>
            <w:sz w:val="24"/>
            <w:szCs w:val="24"/>
            <w:u w:val="none"/>
            <w:lang w:val="en-CA"/>
          </w:rPr>
          <w:t>[1978] 2 SCR 229</w:t>
        </w:r>
      </w:hyperlink>
      <w:r w:rsidR="00A75117">
        <w:rPr>
          <w:rFonts w:ascii="Arial" w:hAnsi="Arial" w:cs="Arial"/>
          <w:sz w:val="24"/>
          <w:szCs w:val="24"/>
          <w:lang w:val="en-CA"/>
        </w:rPr>
        <w:t xml:space="preserve"> </w:t>
      </w:r>
      <w:r>
        <w:rPr>
          <w:rFonts w:ascii="Arial" w:hAnsi="Arial" w:cs="Arial"/>
          <w:sz w:val="24"/>
          <w:szCs w:val="24"/>
          <w:lang w:val="en-CA"/>
        </w:rPr>
        <w:t>by Dickson C.J.</w:t>
      </w:r>
      <w:r w:rsidR="00A75117">
        <w:rPr>
          <w:rFonts w:ascii="Arial" w:hAnsi="Arial" w:cs="Arial"/>
          <w:sz w:val="24"/>
          <w:szCs w:val="24"/>
          <w:lang w:val="en-CA"/>
        </w:rPr>
        <w:t xml:space="preserve"> at para. 24:</w:t>
      </w:r>
    </w:p>
    <w:p w14:paraId="0A09EEA4" w14:textId="77777777" w:rsidR="00A75117" w:rsidRPr="00A75117" w:rsidRDefault="00A75117" w:rsidP="00A75117">
      <w:pPr>
        <w:pStyle w:val="ListParagraph"/>
        <w:rPr>
          <w:rFonts w:ascii="Arial" w:hAnsi="Arial" w:cs="Arial"/>
          <w:sz w:val="24"/>
          <w:szCs w:val="24"/>
          <w:lang w:val="en-CA"/>
        </w:rPr>
      </w:pPr>
    </w:p>
    <w:p w14:paraId="2C0F3F57" w14:textId="77777777" w:rsidR="00A75117" w:rsidRPr="00A75117" w:rsidRDefault="00A75117" w:rsidP="00A75117">
      <w:pPr>
        <w:widowControl w:val="0"/>
        <w:tabs>
          <w:tab w:val="left" w:pos="7920"/>
        </w:tabs>
        <w:autoSpaceDE w:val="0"/>
        <w:autoSpaceDN w:val="0"/>
        <w:adjustRightInd w:val="0"/>
        <w:ind w:left="720" w:right="720"/>
        <w:jc w:val="both"/>
        <w:rPr>
          <w:rFonts w:ascii="Arial" w:hAnsi="Arial" w:cs="Arial"/>
          <w:i/>
          <w:szCs w:val="24"/>
          <w:lang w:val="en-CA"/>
        </w:rPr>
      </w:pPr>
      <w:r w:rsidRPr="00A75117">
        <w:rPr>
          <w:rFonts w:ascii="Arial" w:hAnsi="Arial" w:cs="Arial"/>
          <w:i/>
          <w:szCs w:val="24"/>
          <w:lang w:val="en-CA"/>
        </w:rPr>
        <w:t xml:space="preserve"> 24      To the same effect, see Kemp and Kemp, Quantum of Damages, 3rd ed. (1967), vol. 1, at p. 4: "The person suffering the damage is entitled to full compensation for the financial loss suffered." This broad principle was propounded by Lord Blackburn at an early date in Livingstone v. </w:t>
      </w:r>
      <w:proofErr w:type="spellStart"/>
      <w:r w:rsidRPr="00A75117">
        <w:rPr>
          <w:rFonts w:ascii="Arial" w:hAnsi="Arial" w:cs="Arial"/>
          <w:i/>
          <w:szCs w:val="24"/>
          <w:lang w:val="en-CA"/>
        </w:rPr>
        <w:t>Rawyards</w:t>
      </w:r>
      <w:proofErr w:type="spellEnd"/>
      <w:r w:rsidRPr="00A75117">
        <w:rPr>
          <w:rFonts w:ascii="Arial" w:hAnsi="Arial" w:cs="Arial"/>
          <w:i/>
          <w:szCs w:val="24"/>
          <w:lang w:val="en-CA"/>
        </w:rPr>
        <w:t xml:space="preserve"> Coal Co. (1880), 5 App. Cas. 25 at 39 (H.L.), in these words:</w:t>
      </w:r>
    </w:p>
    <w:p w14:paraId="10EE5EBE" w14:textId="5FFDBA87" w:rsidR="00853BCA" w:rsidRPr="00A75117" w:rsidRDefault="00A75117" w:rsidP="00A75117">
      <w:pPr>
        <w:widowControl w:val="0"/>
        <w:tabs>
          <w:tab w:val="left" w:pos="7920"/>
        </w:tabs>
        <w:autoSpaceDE w:val="0"/>
        <w:autoSpaceDN w:val="0"/>
        <w:adjustRightInd w:val="0"/>
        <w:ind w:left="1440" w:right="1440"/>
        <w:jc w:val="both"/>
        <w:rPr>
          <w:rFonts w:ascii="Arial" w:hAnsi="Arial" w:cs="Arial"/>
          <w:b/>
          <w:i/>
          <w:szCs w:val="24"/>
          <w:lang w:val="en-CA"/>
        </w:rPr>
      </w:pPr>
      <w:r w:rsidRPr="00A75117">
        <w:rPr>
          <w:rFonts w:ascii="Arial" w:hAnsi="Arial" w:cs="Arial"/>
          <w:i/>
          <w:szCs w:val="24"/>
          <w:lang w:val="en-CA"/>
        </w:rPr>
        <w:t>I do not think there is any difference of opinion as to its being a general rule that, where any injury is to be compensated by damages, in settling the sum of money to be given for reparation of damages you should as nearly as possible get at that sum of money which will put the party who has been injured, or who has suffered, in the same position as he would have been in if he had not sustained the wrong for which he is now getting his compensation or reparation.</w:t>
      </w:r>
    </w:p>
    <w:p w14:paraId="519C9417" w14:textId="77777777" w:rsidR="00853BCA" w:rsidRPr="00853BCA" w:rsidRDefault="00853BCA" w:rsidP="00853BCA">
      <w:pPr>
        <w:pStyle w:val="ListParagraph"/>
        <w:rPr>
          <w:rFonts w:ascii="Arial" w:hAnsi="Arial" w:cs="Arial"/>
          <w:sz w:val="24"/>
          <w:szCs w:val="24"/>
          <w:lang w:val="en-CA"/>
        </w:rPr>
      </w:pPr>
    </w:p>
    <w:p w14:paraId="6C25BDB1" w14:textId="719C36C7" w:rsidR="005D227F" w:rsidRPr="00853BCA" w:rsidRDefault="00853BCA" w:rsidP="00EF10C2">
      <w:pPr>
        <w:pStyle w:val="ListParagraph"/>
        <w:widowControl w:val="0"/>
        <w:numPr>
          <w:ilvl w:val="0"/>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Damages are typically divided into several categories/heads:</w:t>
      </w:r>
    </w:p>
    <w:p w14:paraId="7F7EE7B8" w14:textId="777F49A8" w:rsidR="00853BCA" w:rsidRPr="00853BCA" w:rsidRDefault="00853BCA" w:rsidP="00853BCA">
      <w:pPr>
        <w:widowControl w:val="0"/>
        <w:autoSpaceDE w:val="0"/>
        <w:autoSpaceDN w:val="0"/>
        <w:adjustRightInd w:val="0"/>
        <w:ind w:right="720"/>
        <w:jc w:val="both"/>
        <w:rPr>
          <w:rFonts w:ascii="Arial" w:hAnsi="Arial" w:cs="Arial"/>
          <w:b/>
          <w:sz w:val="24"/>
          <w:szCs w:val="24"/>
          <w:lang w:val="en-CA"/>
        </w:rPr>
      </w:pPr>
    </w:p>
    <w:p w14:paraId="08E8E569" w14:textId="1AFB5528" w:rsidR="00853BCA" w:rsidRPr="00853BCA" w:rsidRDefault="00853BCA" w:rsidP="00EF10C2">
      <w:pPr>
        <w:pStyle w:val="ListParagraph"/>
        <w:widowControl w:val="0"/>
        <w:numPr>
          <w:ilvl w:val="1"/>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Non-pecuniary (pain and suffering);</w:t>
      </w:r>
    </w:p>
    <w:p w14:paraId="0035348F" w14:textId="77777777" w:rsidR="00853BCA" w:rsidRPr="00853BCA" w:rsidRDefault="00853BCA" w:rsidP="00853BCA">
      <w:pPr>
        <w:pStyle w:val="ListParagraph"/>
        <w:widowControl w:val="0"/>
        <w:autoSpaceDE w:val="0"/>
        <w:autoSpaceDN w:val="0"/>
        <w:adjustRightInd w:val="0"/>
        <w:ind w:left="1260" w:right="720"/>
        <w:jc w:val="both"/>
        <w:rPr>
          <w:rFonts w:ascii="Arial" w:hAnsi="Arial" w:cs="Arial"/>
          <w:b/>
          <w:sz w:val="24"/>
          <w:szCs w:val="24"/>
          <w:lang w:val="en-CA"/>
        </w:rPr>
      </w:pPr>
    </w:p>
    <w:p w14:paraId="146C14FB" w14:textId="79F4DBB9" w:rsidR="00853BCA" w:rsidRPr="00853BCA" w:rsidRDefault="00853BCA" w:rsidP="00EF10C2">
      <w:pPr>
        <w:pStyle w:val="ListParagraph"/>
        <w:widowControl w:val="0"/>
        <w:numPr>
          <w:ilvl w:val="1"/>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Past wage-loss;</w:t>
      </w:r>
    </w:p>
    <w:p w14:paraId="0B1CCE3D" w14:textId="77777777" w:rsidR="00853BCA" w:rsidRPr="00853BCA" w:rsidRDefault="00853BCA" w:rsidP="00853BCA">
      <w:pPr>
        <w:pStyle w:val="ListParagraph"/>
        <w:widowControl w:val="0"/>
        <w:autoSpaceDE w:val="0"/>
        <w:autoSpaceDN w:val="0"/>
        <w:adjustRightInd w:val="0"/>
        <w:ind w:left="1260" w:right="720"/>
        <w:jc w:val="both"/>
        <w:rPr>
          <w:rFonts w:ascii="Arial" w:hAnsi="Arial" w:cs="Arial"/>
          <w:b/>
          <w:sz w:val="24"/>
          <w:szCs w:val="24"/>
          <w:lang w:val="en-CA"/>
        </w:rPr>
      </w:pPr>
    </w:p>
    <w:p w14:paraId="68A0688E" w14:textId="5F838636" w:rsidR="00853BCA" w:rsidRPr="00853BCA" w:rsidRDefault="00853BCA" w:rsidP="00EF10C2">
      <w:pPr>
        <w:pStyle w:val="ListParagraph"/>
        <w:widowControl w:val="0"/>
        <w:numPr>
          <w:ilvl w:val="1"/>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Loss of future earnings capacity;</w:t>
      </w:r>
    </w:p>
    <w:p w14:paraId="3EB01F69" w14:textId="77777777" w:rsidR="00853BCA" w:rsidRPr="00853BCA" w:rsidRDefault="00853BCA" w:rsidP="00853BCA">
      <w:pPr>
        <w:pStyle w:val="ListParagraph"/>
        <w:rPr>
          <w:rFonts w:ascii="Arial" w:hAnsi="Arial" w:cs="Arial"/>
          <w:b/>
          <w:sz w:val="24"/>
          <w:szCs w:val="24"/>
          <w:lang w:val="en-CA"/>
        </w:rPr>
      </w:pPr>
    </w:p>
    <w:p w14:paraId="511D095D" w14:textId="05AF5E8E" w:rsidR="00853BCA" w:rsidRPr="00853BCA" w:rsidRDefault="00853BCA" w:rsidP="00EF10C2">
      <w:pPr>
        <w:pStyle w:val="ListParagraph"/>
        <w:widowControl w:val="0"/>
        <w:numPr>
          <w:ilvl w:val="1"/>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Cost of future care;</w:t>
      </w:r>
    </w:p>
    <w:p w14:paraId="28CAF300" w14:textId="77777777" w:rsidR="00853BCA" w:rsidRPr="00853BCA" w:rsidRDefault="00853BCA" w:rsidP="00853BCA">
      <w:pPr>
        <w:pStyle w:val="ListParagraph"/>
        <w:rPr>
          <w:rFonts w:ascii="Arial" w:hAnsi="Arial" w:cs="Arial"/>
          <w:b/>
          <w:sz w:val="24"/>
          <w:szCs w:val="24"/>
          <w:lang w:val="en-CA"/>
        </w:rPr>
      </w:pPr>
    </w:p>
    <w:p w14:paraId="33CB2290" w14:textId="516B4BAD" w:rsidR="00853BCA" w:rsidRPr="00853BCA" w:rsidRDefault="00853BCA" w:rsidP="00EF10C2">
      <w:pPr>
        <w:pStyle w:val="ListParagraph"/>
        <w:widowControl w:val="0"/>
        <w:numPr>
          <w:ilvl w:val="1"/>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Loss of housekeeping capacity (which is sometimes included in non-pecuniary damage awards); and</w:t>
      </w:r>
    </w:p>
    <w:p w14:paraId="49C12D31" w14:textId="77777777" w:rsidR="00853BCA" w:rsidRPr="00853BCA" w:rsidRDefault="00853BCA" w:rsidP="00853BCA">
      <w:pPr>
        <w:pStyle w:val="ListParagraph"/>
        <w:rPr>
          <w:rFonts w:ascii="Arial" w:hAnsi="Arial" w:cs="Arial"/>
          <w:b/>
          <w:sz w:val="24"/>
          <w:szCs w:val="24"/>
          <w:lang w:val="en-CA"/>
        </w:rPr>
      </w:pPr>
    </w:p>
    <w:p w14:paraId="3878E205" w14:textId="6EA0218B" w:rsidR="00853BCA" w:rsidRPr="00853BCA" w:rsidRDefault="00853BCA" w:rsidP="00EF10C2">
      <w:pPr>
        <w:pStyle w:val="ListParagraph"/>
        <w:widowControl w:val="0"/>
        <w:numPr>
          <w:ilvl w:val="1"/>
          <w:numId w:val="34"/>
        </w:numPr>
        <w:autoSpaceDE w:val="0"/>
        <w:autoSpaceDN w:val="0"/>
        <w:adjustRightInd w:val="0"/>
        <w:ind w:right="720"/>
        <w:jc w:val="both"/>
        <w:rPr>
          <w:rFonts w:ascii="Arial" w:hAnsi="Arial" w:cs="Arial"/>
          <w:b/>
          <w:sz w:val="24"/>
          <w:szCs w:val="24"/>
          <w:lang w:val="en-CA"/>
        </w:rPr>
      </w:pPr>
      <w:r>
        <w:rPr>
          <w:rFonts w:ascii="Arial" w:hAnsi="Arial" w:cs="Arial"/>
          <w:sz w:val="24"/>
          <w:szCs w:val="24"/>
          <w:lang w:val="en-CA"/>
        </w:rPr>
        <w:t>Special damages.</w:t>
      </w:r>
    </w:p>
    <w:p w14:paraId="0A56A0B5" w14:textId="77777777" w:rsidR="00853BCA" w:rsidRPr="00853BCA" w:rsidRDefault="00853BCA" w:rsidP="00853BCA">
      <w:pPr>
        <w:pStyle w:val="ListParagraph"/>
        <w:rPr>
          <w:rFonts w:ascii="Arial" w:hAnsi="Arial" w:cs="Arial"/>
          <w:b/>
          <w:sz w:val="24"/>
          <w:szCs w:val="24"/>
          <w:lang w:val="en-CA"/>
        </w:rPr>
      </w:pPr>
    </w:p>
    <w:p w14:paraId="565A411F" w14:textId="5AD43B7F" w:rsidR="0035127A" w:rsidRDefault="00A75117" w:rsidP="00EF10C2">
      <w:pPr>
        <w:pStyle w:val="ListParagraph"/>
        <w:widowControl w:val="0"/>
        <w:numPr>
          <w:ilvl w:val="0"/>
          <w:numId w:val="34"/>
        </w:numPr>
        <w:autoSpaceDE w:val="0"/>
        <w:autoSpaceDN w:val="0"/>
        <w:adjustRightInd w:val="0"/>
        <w:ind w:right="720"/>
        <w:jc w:val="both"/>
        <w:rPr>
          <w:rFonts w:ascii="Arial" w:hAnsi="Arial" w:cs="Arial"/>
          <w:sz w:val="24"/>
          <w:szCs w:val="24"/>
          <w:lang w:val="en-CA"/>
        </w:rPr>
      </w:pPr>
      <w:r>
        <w:rPr>
          <w:rFonts w:ascii="Arial" w:hAnsi="Arial" w:cs="Arial"/>
          <w:sz w:val="24"/>
          <w:szCs w:val="24"/>
          <w:lang w:val="en-CA"/>
        </w:rPr>
        <w:t xml:space="preserve">It is imperative that damages be proven, as without proof of actionable damage, a claim </w:t>
      </w:r>
      <w:r w:rsidR="00DF5917">
        <w:rPr>
          <w:rFonts w:ascii="Arial" w:hAnsi="Arial" w:cs="Arial"/>
          <w:sz w:val="24"/>
          <w:szCs w:val="24"/>
          <w:lang w:val="en-CA"/>
        </w:rPr>
        <w:t xml:space="preserve">in negligence </w:t>
      </w:r>
      <w:r>
        <w:rPr>
          <w:rFonts w:ascii="Arial" w:hAnsi="Arial" w:cs="Arial"/>
          <w:sz w:val="24"/>
          <w:szCs w:val="24"/>
          <w:lang w:val="en-CA"/>
        </w:rPr>
        <w:t xml:space="preserve">cannot succeed. In the case of </w:t>
      </w:r>
      <w:r w:rsidRPr="00A75117">
        <w:rPr>
          <w:rFonts w:ascii="Arial" w:hAnsi="Arial" w:cs="Arial"/>
          <w:i/>
          <w:sz w:val="24"/>
          <w:szCs w:val="24"/>
          <w:lang w:val="en-CA"/>
        </w:rPr>
        <w:t xml:space="preserve">Morrison v. Van Den </w:t>
      </w:r>
      <w:proofErr w:type="spellStart"/>
      <w:r w:rsidRPr="00A75117">
        <w:rPr>
          <w:rFonts w:ascii="Arial" w:hAnsi="Arial" w:cs="Arial"/>
          <w:i/>
          <w:sz w:val="24"/>
          <w:szCs w:val="24"/>
          <w:lang w:val="en-CA"/>
        </w:rPr>
        <w:t>Tillaart</w:t>
      </w:r>
      <w:proofErr w:type="spellEnd"/>
      <w:r w:rsidRPr="00A75117">
        <w:rPr>
          <w:rFonts w:ascii="Arial" w:hAnsi="Arial" w:cs="Arial"/>
          <w:sz w:val="24"/>
          <w:szCs w:val="24"/>
          <w:lang w:val="en-CA"/>
        </w:rPr>
        <w:t xml:space="preserve">, </w:t>
      </w:r>
      <w:hyperlink r:id="rId48" w:history="1">
        <w:r w:rsidRPr="00A75117">
          <w:rPr>
            <w:rStyle w:val="Hyperlink"/>
            <w:rFonts w:ascii="Arial" w:hAnsi="Arial" w:cs="Arial"/>
            <w:sz w:val="24"/>
            <w:szCs w:val="24"/>
            <w:u w:val="none"/>
            <w:lang w:val="en-CA"/>
          </w:rPr>
          <w:t>2012 BCSC 383</w:t>
        </w:r>
      </w:hyperlink>
      <w:r>
        <w:rPr>
          <w:rFonts w:ascii="Arial" w:hAnsi="Arial" w:cs="Arial"/>
          <w:sz w:val="24"/>
          <w:szCs w:val="24"/>
          <w:lang w:val="en-CA"/>
        </w:rPr>
        <w:t xml:space="preserve">, </w:t>
      </w:r>
      <w:r w:rsidR="00DF5917">
        <w:rPr>
          <w:rFonts w:ascii="Arial" w:hAnsi="Arial" w:cs="Arial"/>
          <w:sz w:val="24"/>
          <w:szCs w:val="24"/>
          <w:lang w:val="en-CA"/>
        </w:rPr>
        <w:t xml:space="preserve">at paras. 28 &amp; 32 it was confirmed </w:t>
      </w:r>
      <w:r>
        <w:rPr>
          <w:rFonts w:ascii="Arial" w:hAnsi="Arial" w:cs="Arial"/>
          <w:sz w:val="24"/>
          <w:szCs w:val="24"/>
          <w:lang w:val="en-CA"/>
        </w:rPr>
        <w:t xml:space="preserve">that </w:t>
      </w:r>
      <w:r w:rsidR="00DF5917">
        <w:rPr>
          <w:rFonts w:ascii="Arial" w:hAnsi="Arial" w:cs="Arial"/>
          <w:sz w:val="24"/>
          <w:szCs w:val="24"/>
          <w:lang w:val="en-CA"/>
        </w:rPr>
        <w:t>the plaintiff must prov</w:t>
      </w:r>
      <w:r w:rsidR="00731DE2">
        <w:rPr>
          <w:rFonts w:ascii="Arial" w:hAnsi="Arial" w:cs="Arial"/>
          <w:sz w:val="24"/>
          <w:szCs w:val="24"/>
          <w:lang w:val="en-CA"/>
        </w:rPr>
        <w:t>i</w:t>
      </w:r>
      <w:r w:rsidR="00DF5917">
        <w:rPr>
          <w:rFonts w:ascii="Arial" w:hAnsi="Arial" w:cs="Arial"/>
          <w:sz w:val="24"/>
          <w:szCs w:val="24"/>
          <w:lang w:val="en-CA"/>
        </w:rPr>
        <w:t>d</w:t>
      </w:r>
      <w:r w:rsidR="00731DE2">
        <w:rPr>
          <w:rFonts w:ascii="Arial" w:hAnsi="Arial" w:cs="Arial"/>
          <w:sz w:val="24"/>
          <w:szCs w:val="24"/>
          <w:lang w:val="en-CA"/>
        </w:rPr>
        <w:t>e</w:t>
      </w:r>
      <w:r w:rsidR="00DF5917">
        <w:rPr>
          <w:rFonts w:ascii="Arial" w:hAnsi="Arial" w:cs="Arial"/>
          <w:sz w:val="24"/>
          <w:szCs w:val="24"/>
          <w:lang w:val="en-CA"/>
        </w:rPr>
        <w:t xml:space="preserve"> evidence that actual damage arose from the alleged wrongful conduct of the defendant.</w:t>
      </w:r>
    </w:p>
    <w:p w14:paraId="7538EE5B" w14:textId="77777777" w:rsidR="0035127A" w:rsidRDefault="0035127A" w:rsidP="0035127A">
      <w:pPr>
        <w:pStyle w:val="ListParagraph"/>
        <w:widowControl w:val="0"/>
        <w:autoSpaceDE w:val="0"/>
        <w:autoSpaceDN w:val="0"/>
        <w:adjustRightInd w:val="0"/>
        <w:ind w:left="540" w:right="720"/>
        <w:jc w:val="both"/>
        <w:rPr>
          <w:rFonts w:ascii="Arial" w:hAnsi="Arial" w:cs="Arial"/>
          <w:sz w:val="24"/>
          <w:szCs w:val="24"/>
          <w:lang w:val="en-CA"/>
        </w:rPr>
      </w:pPr>
    </w:p>
    <w:p w14:paraId="5462A95F" w14:textId="56848080" w:rsidR="00DF5917" w:rsidRDefault="0035127A" w:rsidP="00EF10C2">
      <w:pPr>
        <w:pStyle w:val="ListParagraph"/>
        <w:widowControl w:val="0"/>
        <w:numPr>
          <w:ilvl w:val="0"/>
          <w:numId w:val="34"/>
        </w:numPr>
        <w:autoSpaceDE w:val="0"/>
        <w:autoSpaceDN w:val="0"/>
        <w:adjustRightInd w:val="0"/>
        <w:ind w:right="720"/>
        <w:jc w:val="both"/>
        <w:rPr>
          <w:rFonts w:ascii="Arial" w:hAnsi="Arial" w:cs="Arial"/>
          <w:sz w:val="24"/>
          <w:szCs w:val="24"/>
          <w:lang w:val="en-CA"/>
        </w:rPr>
      </w:pPr>
      <w:r w:rsidRPr="0035127A">
        <w:rPr>
          <w:rFonts w:ascii="Arial" w:hAnsi="Arial" w:cs="Arial"/>
          <w:sz w:val="24"/>
          <w:szCs w:val="24"/>
          <w:lang w:val="en-CA"/>
        </w:rPr>
        <w:t>Merely threatening future harm or exposing another to danger is not actionable — there must be actual damage</w:t>
      </w:r>
      <w:r w:rsidR="00545533">
        <w:rPr>
          <w:rFonts w:ascii="Arial" w:hAnsi="Arial" w:cs="Arial"/>
          <w:sz w:val="24"/>
          <w:szCs w:val="24"/>
          <w:lang w:val="en-CA"/>
        </w:rPr>
        <w:t xml:space="preserve"> for a claim in negligence to succeed</w:t>
      </w:r>
      <w:r>
        <w:rPr>
          <w:rFonts w:ascii="Arial" w:hAnsi="Arial" w:cs="Arial"/>
          <w:sz w:val="24"/>
          <w:szCs w:val="24"/>
          <w:lang w:val="en-CA"/>
        </w:rPr>
        <w:t>.</w:t>
      </w:r>
    </w:p>
    <w:p w14:paraId="4DEE53A5" w14:textId="77777777" w:rsidR="00731DE2" w:rsidRPr="00731DE2" w:rsidRDefault="00731DE2" w:rsidP="00731DE2">
      <w:pPr>
        <w:pStyle w:val="ListParagraph"/>
        <w:rPr>
          <w:rFonts w:ascii="Arial" w:hAnsi="Arial" w:cs="Arial"/>
          <w:sz w:val="24"/>
          <w:szCs w:val="24"/>
          <w:lang w:val="en-CA"/>
        </w:rPr>
      </w:pPr>
    </w:p>
    <w:p w14:paraId="3AD66505" w14:textId="77777777" w:rsidR="00731DE2" w:rsidRDefault="00731DE2" w:rsidP="00731DE2">
      <w:pPr>
        <w:pStyle w:val="ListParagraph"/>
        <w:widowControl w:val="0"/>
        <w:autoSpaceDE w:val="0"/>
        <w:autoSpaceDN w:val="0"/>
        <w:adjustRightInd w:val="0"/>
        <w:ind w:left="540" w:right="720"/>
        <w:jc w:val="both"/>
        <w:rPr>
          <w:rFonts w:ascii="Arial" w:hAnsi="Arial" w:cs="Arial"/>
          <w:sz w:val="24"/>
          <w:szCs w:val="24"/>
          <w:lang w:val="en-CA"/>
        </w:rPr>
      </w:pPr>
    </w:p>
    <w:p w14:paraId="3A270668" w14:textId="54EC43D6" w:rsidR="00470657" w:rsidRPr="00470657" w:rsidRDefault="00B52D75" w:rsidP="0077161A">
      <w:pPr>
        <w:pStyle w:val="Default"/>
        <w:keepNext/>
        <w:keepLines/>
        <w:numPr>
          <w:ilvl w:val="1"/>
          <w:numId w:val="33"/>
        </w:numPr>
        <w:spacing w:after="200"/>
        <w:ind w:left="662" w:hanging="475"/>
        <w:jc w:val="both"/>
        <w:rPr>
          <w:rStyle w:val="Hyperlink"/>
          <w:rFonts w:ascii="Arial" w:hAnsi="Arial" w:cs="Arial"/>
          <w:b/>
          <w:color w:val="auto"/>
          <w:u w:val="none"/>
          <w:lang w:val="en-CA"/>
        </w:rPr>
      </w:pPr>
      <w:r>
        <w:rPr>
          <w:rStyle w:val="Hyperlink"/>
          <w:rFonts w:ascii="Arial" w:hAnsi="Arial" w:cs="Arial"/>
          <w:b/>
          <w:color w:val="auto"/>
          <w:u w:val="none"/>
          <w:lang w:val="en-CA"/>
        </w:rPr>
        <w:t>Burden of Proof</w:t>
      </w:r>
      <w:r w:rsidR="00470657">
        <w:rPr>
          <w:rStyle w:val="Hyperlink"/>
          <w:rFonts w:ascii="Arial" w:hAnsi="Arial" w:cs="Arial"/>
          <w:b/>
          <w:color w:val="auto"/>
          <w:u w:val="none"/>
          <w:lang w:val="en-CA"/>
        </w:rPr>
        <w:t xml:space="preserve"> &amp; Standard of Proof</w:t>
      </w:r>
    </w:p>
    <w:p w14:paraId="2EB78C0D" w14:textId="77777777" w:rsidR="00453E0C" w:rsidRDefault="00453E0C" w:rsidP="00EF10C2">
      <w:pPr>
        <w:pStyle w:val="Default"/>
        <w:keepNext/>
        <w:keepLines/>
        <w:numPr>
          <w:ilvl w:val="0"/>
          <w:numId w:val="32"/>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 xml:space="preserve">In </w:t>
      </w:r>
      <w:proofErr w:type="spellStart"/>
      <w:r>
        <w:rPr>
          <w:rStyle w:val="Hyperlink"/>
          <w:rFonts w:ascii="Arial" w:hAnsi="Arial" w:cs="Arial"/>
          <w:i/>
          <w:color w:val="auto"/>
          <w:u w:val="none"/>
          <w:lang w:val="en-CA"/>
        </w:rPr>
        <w:t>Sopinka</w:t>
      </w:r>
      <w:proofErr w:type="spellEnd"/>
      <w:r>
        <w:rPr>
          <w:rStyle w:val="Hyperlink"/>
          <w:rFonts w:ascii="Arial" w:hAnsi="Arial" w:cs="Arial"/>
          <w:i/>
          <w:color w:val="auto"/>
          <w:u w:val="none"/>
          <w:lang w:val="en-CA"/>
        </w:rPr>
        <w:t xml:space="preserve">, Lederman &amp; Bryant: </w:t>
      </w:r>
      <w:r w:rsidRPr="00D23478">
        <w:rPr>
          <w:rStyle w:val="Hyperlink"/>
          <w:rFonts w:ascii="Arial" w:hAnsi="Arial" w:cs="Arial"/>
          <w:i/>
          <w:color w:val="auto"/>
          <w:u w:val="none"/>
          <w:lang w:val="en-CA"/>
        </w:rPr>
        <w:t>The</w:t>
      </w:r>
      <w:r>
        <w:rPr>
          <w:rStyle w:val="Hyperlink"/>
          <w:rFonts w:ascii="Arial" w:hAnsi="Arial" w:cs="Arial"/>
          <w:i/>
          <w:color w:val="auto"/>
          <w:u w:val="none"/>
          <w:lang w:val="en-CA"/>
        </w:rPr>
        <w:t xml:space="preserve"> Law of Evidence in Canada, </w:t>
      </w:r>
      <w:r>
        <w:rPr>
          <w:rStyle w:val="Hyperlink"/>
          <w:rFonts w:ascii="Arial" w:hAnsi="Arial" w:cs="Arial"/>
          <w:color w:val="auto"/>
          <w:u w:val="none"/>
          <w:lang w:val="en-CA"/>
        </w:rPr>
        <w:t>the burden of proof is assigned two separate meanings:</w:t>
      </w:r>
    </w:p>
    <w:p w14:paraId="52848977" w14:textId="77777777" w:rsidR="00453E0C" w:rsidRDefault="00453E0C" w:rsidP="00453E0C">
      <w:pPr>
        <w:pStyle w:val="Default"/>
        <w:keepNext/>
        <w:keepLines/>
        <w:spacing w:after="200"/>
        <w:ind w:left="720" w:right="720"/>
        <w:jc w:val="both"/>
        <w:rPr>
          <w:rStyle w:val="Hyperlink"/>
          <w:rFonts w:ascii="Arial" w:hAnsi="Arial" w:cs="Arial"/>
          <w:i/>
          <w:color w:val="auto"/>
          <w:sz w:val="22"/>
          <w:u w:val="none"/>
          <w:lang w:val="en-CA"/>
        </w:rPr>
      </w:pPr>
      <w:r>
        <w:rPr>
          <w:rStyle w:val="Hyperlink"/>
          <w:rFonts w:ascii="Arial" w:hAnsi="Arial" w:cs="Arial"/>
          <w:i/>
          <w:color w:val="auto"/>
          <w:sz w:val="22"/>
          <w:u w:val="none"/>
          <w:lang w:val="en-CA"/>
        </w:rPr>
        <w:t>In the first sense, the term refers to the obligation imposed on a party to prove or disprove a fact or issue to either a balance of probabilities or beyond a reasonable doubt.</w:t>
      </w:r>
    </w:p>
    <w:p w14:paraId="419A83A8" w14:textId="77777777" w:rsidR="00453E0C" w:rsidRPr="002434DA" w:rsidRDefault="00453E0C" w:rsidP="00453E0C">
      <w:pPr>
        <w:pStyle w:val="Default"/>
        <w:keepNext/>
        <w:keepLines/>
        <w:spacing w:after="200"/>
        <w:ind w:left="720" w:right="720"/>
        <w:jc w:val="both"/>
        <w:rPr>
          <w:rStyle w:val="Hyperlink"/>
          <w:rFonts w:ascii="Arial" w:hAnsi="Arial" w:cs="Arial"/>
          <w:i/>
          <w:color w:val="auto"/>
          <w:sz w:val="22"/>
          <w:u w:val="none"/>
          <w:lang w:val="en-CA"/>
        </w:rPr>
      </w:pPr>
      <w:r>
        <w:rPr>
          <w:rStyle w:val="Hyperlink"/>
          <w:rFonts w:ascii="Arial" w:hAnsi="Arial" w:cs="Arial"/>
          <w:i/>
          <w:color w:val="auto"/>
          <w:sz w:val="22"/>
          <w:u w:val="none"/>
          <w:lang w:val="en-CA"/>
        </w:rPr>
        <w:t>In the second sense, it refers to a party’s obligation to adduce or point to evidence on the record to raise an issue to the satisfaction of the trial judge.</w:t>
      </w:r>
    </w:p>
    <w:p w14:paraId="5FB98D4F" w14:textId="77777777" w:rsidR="00453E0C" w:rsidRDefault="00453E0C" w:rsidP="0077161A">
      <w:pPr>
        <w:pStyle w:val="Default"/>
        <w:numPr>
          <w:ilvl w:val="0"/>
          <w:numId w:val="32"/>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The first sense of the burden of proof is the legal obligation upon a party to establish contested facts in order to succeed in the action in question. The second sense is what we are referring to as the standard of proof for the purposes of this course.</w:t>
      </w:r>
    </w:p>
    <w:p w14:paraId="009924A3" w14:textId="5CB0D746" w:rsidR="002A4070" w:rsidRPr="00281DFB" w:rsidRDefault="00281DFB" w:rsidP="0077161A">
      <w:pPr>
        <w:pStyle w:val="Default"/>
        <w:spacing w:after="200"/>
        <w:ind w:left="540"/>
        <w:jc w:val="both"/>
        <w:rPr>
          <w:rStyle w:val="Hyperlink"/>
          <w:rFonts w:ascii="Arial" w:hAnsi="Arial" w:cs="Arial"/>
          <w:b/>
          <w:color w:val="auto"/>
          <w:u w:val="none"/>
          <w:lang w:val="en-CA"/>
        </w:rPr>
      </w:pPr>
      <w:r>
        <w:rPr>
          <w:rStyle w:val="Hyperlink"/>
          <w:rFonts w:ascii="Arial" w:hAnsi="Arial" w:cs="Arial"/>
          <w:b/>
          <w:color w:val="auto"/>
          <w:u w:val="none"/>
          <w:lang w:val="en-CA"/>
        </w:rPr>
        <w:t>Burden of Proof</w:t>
      </w:r>
    </w:p>
    <w:p w14:paraId="4316C322" w14:textId="1CA2D2CE" w:rsidR="00365E01" w:rsidRDefault="00365E01" w:rsidP="0077161A">
      <w:pPr>
        <w:pStyle w:val="Default"/>
        <w:numPr>
          <w:ilvl w:val="0"/>
          <w:numId w:val="31"/>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 xml:space="preserve">In </w:t>
      </w:r>
      <w:r w:rsidRPr="00281DFB">
        <w:rPr>
          <w:rStyle w:val="Hyperlink"/>
          <w:rFonts w:ascii="Arial" w:hAnsi="Arial" w:cs="Arial"/>
          <w:i/>
          <w:color w:val="auto"/>
          <w:u w:val="none"/>
          <w:lang w:val="en-CA"/>
        </w:rPr>
        <w:t xml:space="preserve">Snell v. Farrell, </w:t>
      </w:r>
      <w:hyperlink r:id="rId49" w:history="1">
        <w:r w:rsidRPr="00281DFB">
          <w:rPr>
            <w:rStyle w:val="Hyperlink"/>
            <w:rFonts w:ascii="Arial" w:hAnsi="Arial" w:cs="Arial"/>
            <w:u w:val="none"/>
            <w:lang w:val="en-CA"/>
          </w:rPr>
          <w:t>[1990] 2 SCR 311</w:t>
        </w:r>
      </w:hyperlink>
      <w:r>
        <w:rPr>
          <w:rStyle w:val="Hyperlink"/>
          <w:rFonts w:ascii="Arial" w:hAnsi="Arial" w:cs="Arial"/>
          <w:color w:val="auto"/>
          <w:u w:val="none"/>
          <w:lang w:val="en-CA"/>
        </w:rPr>
        <w:t xml:space="preserve">, </w:t>
      </w:r>
      <w:proofErr w:type="spellStart"/>
      <w:r>
        <w:rPr>
          <w:rStyle w:val="Hyperlink"/>
          <w:rFonts w:ascii="Arial" w:hAnsi="Arial" w:cs="Arial"/>
          <w:color w:val="auto"/>
          <w:u w:val="none"/>
          <w:lang w:val="en-CA"/>
        </w:rPr>
        <w:t>Sopinka</w:t>
      </w:r>
      <w:proofErr w:type="spellEnd"/>
      <w:r>
        <w:rPr>
          <w:rStyle w:val="Hyperlink"/>
          <w:rFonts w:ascii="Arial" w:hAnsi="Arial" w:cs="Arial"/>
          <w:color w:val="auto"/>
          <w:u w:val="none"/>
          <w:lang w:val="en-CA"/>
        </w:rPr>
        <w:t xml:space="preserve"> J., writing for the Court, commented on the burden of proof, and stated that the presumption is that the burden of proof will typically lie with the plaintiff:</w:t>
      </w:r>
    </w:p>
    <w:p w14:paraId="5B48DA6C" w14:textId="77777777" w:rsidR="00365E01" w:rsidRPr="00D23478" w:rsidRDefault="00365E01" w:rsidP="0077161A">
      <w:pPr>
        <w:pStyle w:val="Default"/>
        <w:spacing w:after="200"/>
        <w:ind w:left="720" w:right="720"/>
        <w:jc w:val="both"/>
        <w:rPr>
          <w:rStyle w:val="Hyperlink"/>
          <w:rFonts w:ascii="Arial" w:hAnsi="Arial" w:cs="Arial"/>
          <w:i/>
          <w:color w:val="auto"/>
          <w:sz w:val="22"/>
          <w:u w:val="none"/>
          <w:lang w:val="en-CA"/>
        </w:rPr>
      </w:pPr>
      <w:r>
        <w:rPr>
          <w:rStyle w:val="Hyperlink"/>
          <w:rFonts w:ascii="Arial" w:hAnsi="Arial" w:cs="Arial"/>
          <w:i/>
          <w:color w:val="auto"/>
          <w:sz w:val="22"/>
          <w:u w:val="none"/>
          <w:lang w:val="en-CA"/>
        </w:rPr>
        <w:t xml:space="preserve">… </w:t>
      </w:r>
      <w:r w:rsidRPr="00D23478">
        <w:rPr>
          <w:rStyle w:val="Hyperlink"/>
          <w:rFonts w:ascii="Arial" w:hAnsi="Arial" w:cs="Arial"/>
          <w:i/>
          <w:color w:val="auto"/>
          <w:sz w:val="22"/>
          <w:u w:val="none"/>
          <w:lang w:val="en-CA"/>
        </w:rPr>
        <w:t xml:space="preserve"> The legal or ultimate burden of proof is determined by the substantive law "upon broad reasons of experience and fairness": 9 Wigmore on Evidence, 4th ed. (Boston: Little, Brown &amp; Co., 1981), s. 2486, at p. 292. In a civil case, the two broad principles are:</w:t>
      </w:r>
    </w:p>
    <w:p w14:paraId="14F050BB" w14:textId="77777777" w:rsidR="00365E01" w:rsidRPr="00D23478" w:rsidRDefault="00365E01" w:rsidP="0077161A">
      <w:pPr>
        <w:pStyle w:val="Default"/>
        <w:tabs>
          <w:tab w:val="left" w:pos="8010"/>
        </w:tabs>
        <w:spacing w:after="200"/>
        <w:ind w:left="1440" w:right="1440"/>
        <w:jc w:val="both"/>
        <w:rPr>
          <w:rStyle w:val="Hyperlink"/>
          <w:rFonts w:ascii="Arial" w:hAnsi="Arial" w:cs="Arial"/>
          <w:i/>
          <w:color w:val="auto"/>
          <w:sz w:val="22"/>
          <w:u w:val="none"/>
          <w:lang w:val="en-CA"/>
        </w:rPr>
      </w:pPr>
      <w:r w:rsidRPr="00D23478">
        <w:rPr>
          <w:rStyle w:val="Hyperlink"/>
          <w:rFonts w:ascii="Arial" w:hAnsi="Arial" w:cs="Arial"/>
          <w:i/>
          <w:color w:val="auto"/>
          <w:sz w:val="22"/>
          <w:u w:val="none"/>
          <w:lang w:val="en-CA"/>
        </w:rPr>
        <w:t>1. that the onus is on the party who asserts a proposition, usually the plaintiff; and</w:t>
      </w:r>
    </w:p>
    <w:p w14:paraId="6255D432" w14:textId="77777777" w:rsidR="00365E01" w:rsidRPr="00D23478" w:rsidRDefault="00365E01" w:rsidP="0077161A">
      <w:pPr>
        <w:pStyle w:val="Default"/>
        <w:tabs>
          <w:tab w:val="left" w:pos="8010"/>
        </w:tabs>
        <w:spacing w:after="200"/>
        <w:ind w:left="1440" w:right="1440"/>
        <w:jc w:val="both"/>
        <w:rPr>
          <w:rStyle w:val="Hyperlink"/>
          <w:rFonts w:ascii="Arial" w:hAnsi="Arial" w:cs="Arial"/>
          <w:i/>
          <w:color w:val="auto"/>
          <w:sz w:val="22"/>
          <w:u w:val="none"/>
          <w:lang w:val="en-CA"/>
        </w:rPr>
      </w:pPr>
      <w:r w:rsidRPr="00D23478">
        <w:rPr>
          <w:rStyle w:val="Hyperlink"/>
          <w:rFonts w:ascii="Arial" w:hAnsi="Arial" w:cs="Arial"/>
          <w:i/>
          <w:color w:val="auto"/>
          <w:sz w:val="22"/>
          <w:u w:val="none"/>
          <w:lang w:val="en-CA"/>
        </w:rPr>
        <w:t>2. that where the subject matter of the allegation lies particularly within the knowledge of one party, that party may be required to prove it.</w:t>
      </w:r>
    </w:p>
    <w:p w14:paraId="492FF685" w14:textId="618227DB" w:rsidR="002A4070" w:rsidRDefault="002A4070" w:rsidP="0077161A">
      <w:pPr>
        <w:pStyle w:val="Default"/>
        <w:numPr>
          <w:ilvl w:val="0"/>
          <w:numId w:val="31"/>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I</w:t>
      </w:r>
      <w:r w:rsidR="00B52D75">
        <w:rPr>
          <w:rStyle w:val="Hyperlink"/>
          <w:rFonts w:ascii="Arial" w:hAnsi="Arial" w:cs="Arial"/>
          <w:color w:val="auto"/>
          <w:u w:val="none"/>
          <w:lang w:val="en-CA"/>
        </w:rPr>
        <w:t>n any civil action</w:t>
      </w:r>
      <w:r>
        <w:rPr>
          <w:rStyle w:val="Hyperlink"/>
          <w:rFonts w:ascii="Arial" w:hAnsi="Arial" w:cs="Arial"/>
          <w:color w:val="auto"/>
          <w:u w:val="none"/>
          <w:lang w:val="en-CA"/>
        </w:rPr>
        <w:t>,</w:t>
      </w:r>
      <w:r w:rsidR="00B52D75">
        <w:rPr>
          <w:rStyle w:val="Hyperlink"/>
          <w:rFonts w:ascii="Arial" w:hAnsi="Arial" w:cs="Arial"/>
          <w:color w:val="auto"/>
          <w:u w:val="none"/>
          <w:lang w:val="en-CA"/>
        </w:rPr>
        <w:t xml:space="preserve"> in </w:t>
      </w:r>
      <w:r w:rsidR="00470657">
        <w:rPr>
          <w:rStyle w:val="Hyperlink"/>
          <w:rFonts w:ascii="Arial" w:hAnsi="Arial" w:cs="Arial"/>
          <w:color w:val="auto"/>
          <w:u w:val="none"/>
          <w:lang w:val="en-CA"/>
        </w:rPr>
        <w:t>negligence</w:t>
      </w:r>
      <w:r w:rsidR="00B52D75">
        <w:rPr>
          <w:rStyle w:val="Hyperlink"/>
          <w:rFonts w:ascii="Arial" w:hAnsi="Arial" w:cs="Arial"/>
          <w:color w:val="auto"/>
          <w:u w:val="none"/>
          <w:lang w:val="en-CA"/>
        </w:rPr>
        <w:t xml:space="preserve"> </w:t>
      </w:r>
      <w:r>
        <w:rPr>
          <w:rStyle w:val="Hyperlink"/>
          <w:rFonts w:ascii="Arial" w:hAnsi="Arial" w:cs="Arial"/>
          <w:color w:val="auto"/>
          <w:u w:val="none"/>
          <w:lang w:val="en-CA"/>
        </w:rPr>
        <w:t xml:space="preserve">or otherwise, the burden of proof </w:t>
      </w:r>
      <w:r w:rsidR="00B52D75">
        <w:rPr>
          <w:rStyle w:val="Hyperlink"/>
          <w:rFonts w:ascii="Arial" w:hAnsi="Arial" w:cs="Arial"/>
          <w:color w:val="auto"/>
          <w:u w:val="none"/>
          <w:lang w:val="en-CA"/>
        </w:rPr>
        <w:t>rests with the plaintiff.</w:t>
      </w:r>
      <w:r>
        <w:rPr>
          <w:rStyle w:val="Hyperlink"/>
          <w:rFonts w:ascii="Arial" w:hAnsi="Arial" w:cs="Arial"/>
          <w:color w:val="auto"/>
          <w:u w:val="none"/>
          <w:lang w:val="en-CA"/>
        </w:rPr>
        <w:t xml:space="preserve"> </w:t>
      </w:r>
    </w:p>
    <w:p w14:paraId="15EF28F6" w14:textId="67887D44" w:rsidR="002A4070" w:rsidRDefault="002A4070" w:rsidP="0077161A">
      <w:pPr>
        <w:pStyle w:val="Default"/>
        <w:numPr>
          <w:ilvl w:val="1"/>
          <w:numId w:val="31"/>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This means that in order to bring a successful action in negligence, the plaintiff must prove that the defendant had a duty of care, that the standard of care was not met, that the defendant caused the damages, and then prove the extent of the damages</w:t>
      </w:r>
      <w:r w:rsidR="001B10D5">
        <w:rPr>
          <w:rStyle w:val="Hyperlink"/>
          <w:rFonts w:ascii="Arial" w:hAnsi="Arial" w:cs="Arial"/>
          <w:color w:val="auto"/>
          <w:u w:val="none"/>
          <w:lang w:val="en-CA"/>
        </w:rPr>
        <w:t>.</w:t>
      </w:r>
    </w:p>
    <w:p w14:paraId="7A3A8153" w14:textId="70C1D31F" w:rsidR="001B10D5" w:rsidRDefault="001B10D5" w:rsidP="0077161A">
      <w:pPr>
        <w:pStyle w:val="Default"/>
        <w:numPr>
          <w:ilvl w:val="1"/>
          <w:numId w:val="31"/>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There are instances where the burden of proof may be reversed, such as in cases of medical malpractice.</w:t>
      </w:r>
    </w:p>
    <w:p w14:paraId="3B258006" w14:textId="77777777" w:rsidR="00731DE2" w:rsidRPr="00731DE2" w:rsidRDefault="002A4070" w:rsidP="00C90492">
      <w:pPr>
        <w:pStyle w:val="Default"/>
        <w:numPr>
          <w:ilvl w:val="0"/>
          <w:numId w:val="31"/>
        </w:numPr>
        <w:spacing w:after="200"/>
        <w:ind w:firstLine="540"/>
        <w:jc w:val="both"/>
        <w:rPr>
          <w:rStyle w:val="Hyperlink"/>
          <w:rFonts w:ascii="Arial" w:hAnsi="Arial" w:cs="Arial"/>
          <w:b/>
          <w:color w:val="auto"/>
          <w:u w:val="none"/>
          <w:lang w:val="en-CA"/>
        </w:rPr>
      </w:pPr>
      <w:r w:rsidRPr="0077161A">
        <w:rPr>
          <w:rStyle w:val="Hyperlink"/>
          <w:rFonts w:ascii="Arial" w:hAnsi="Arial" w:cs="Arial"/>
          <w:color w:val="auto"/>
          <w:u w:val="none"/>
          <w:lang w:val="en-CA"/>
        </w:rPr>
        <w:t>Similarly, in criminal actions, the burden of proof is placed upon the prosecution.</w:t>
      </w:r>
      <w:r w:rsidR="00281DFB" w:rsidRPr="0077161A">
        <w:rPr>
          <w:rStyle w:val="Hyperlink"/>
          <w:rFonts w:ascii="Arial" w:hAnsi="Arial" w:cs="Arial"/>
          <w:color w:val="auto"/>
          <w:u w:val="none"/>
          <w:lang w:val="en-CA"/>
        </w:rPr>
        <w:t xml:space="preserve"> This is enshrined in Canadian law through </w:t>
      </w:r>
      <w:r w:rsidR="00453E0C" w:rsidRPr="0077161A">
        <w:rPr>
          <w:rStyle w:val="Hyperlink"/>
          <w:rFonts w:ascii="Arial" w:hAnsi="Arial" w:cs="Arial"/>
          <w:color w:val="auto"/>
          <w:u w:val="none"/>
          <w:lang w:val="en-CA"/>
        </w:rPr>
        <w:t xml:space="preserve">the presumption of innocence under </w:t>
      </w:r>
      <w:r w:rsidR="00281DFB" w:rsidRPr="0077161A">
        <w:rPr>
          <w:rStyle w:val="Hyperlink"/>
          <w:rFonts w:ascii="Arial" w:hAnsi="Arial" w:cs="Arial"/>
          <w:color w:val="auto"/>
          <w:u w:val="none"/>
          <w:lang w:val="en-CA"/>
        </w:rPr>
        <w:t xml:space="preserve">s.11(d) of the </w:t>
      </w:r>
      <w:r w:rsidR="00281DFB" w:rsidRPr="0077161A">
        <w:rPr>
          <w:rStyle w:val="Hyperlink"/>
          <w:rFonts w:ascii="Arial" w:hAnsi="Arial" w:cs="Arial"/>
          <w:i/>
          <w:color w:val="auto"/>
          <w:u w:val="none"/>
          <w:lang w:val="en-CA"/>
        </w:rPr>
        <w:t>Charter of Rights and Freedoms.</w:t>
      </w:r>
    </w:p>
    <w:p w14:paraId="0BF87D2E" w14:textId="28AD3921" w:rsidR="002A4070" w:rsidRPr="0077161A" w:rsidRDefault="00731DE2" w:rsidP="00C90492">
      <w:pPr>
        <w:pStyle w:val="Default"/>
        <w:spacing w:after="200"/>
        <w:ind w:left="540"/>
        <w:jc w:val="both"/>
        <w:rPr>
          <w:rStyle w:val="Hyperlink"/>
          <w:rFonts w:ascii="Arial" w:hAnsi="Arial" w:cs="Arial"/>
          <w:b/>
          <w:color w:val="auto"/>
          <w:u w:val="none"/>
          <w:lang w:val="en-CA"/>
        </w:rPr>
      </w:pPr>
      <w:r w:rsidRPr="00731DE2">
        <w:rPr>
          <w:rStyle w:val="Hyperlink"/>
          <w:rFonts w:ascii="Arial" w:hAnsi="Arial" w:cs="Arial"/>
          <w:b/>
          <w:bCs/>
          <w:iCs/>
          <w:color w:val="auto"/>
          <w:u w:val="none"/>
          <w:lang w:val="en-CA"/>
        </w:rPr>
        <w:t>S</w:t>
      </w:r>
      <w:r w:rsidR="00281DFB" w:rsidRPr="00731DE2">
        <w:rPr>
          <w:rStyle w:val="Hyperlink"/>
          <w:rFonts w:ascii="Arial" w:hAnsi="Arial" w:cs="Arial"/>
          <w:b/>
          <w:bCs/>
          <w:iCs/>
          <w:color w:val="auto"/>
          <w:u w:val="none"/>
          <w:lang w:val="en-CA"/>
        </w:rPr>
        <w:t>t</w:t>
      </w:r>
      <w:r w:rsidR="00281DFB" w:rsidRPr="0077161A">
        <w:rPr>
          <w:rStyle w:val="Hyperlink"/>
          <w:rFonts w:ascii="Arial" w:hAnsi="Arial" w:cs="Arial"/>
          <w:b/>
          <w:color w:val="auto"/>
          <w:u w:val="none"/>
          <w:lang w:val="en-CA"/>
        </w:rPr>
        <w:t>andard of Proof</w:t>
      </w:r>
    </w:p>
    <w:p w14:paraId="2AAF86DA" w14:textId="466E5C74" w:rsidR="00B52D75" w:rsidRDefault="00453E0C" w:rsidP="00C90492">
      <w:pPr>
        <w:pStyle w:val="Default"/>
        <w:numPr>
          <w:ilvl w:val="0"/>
          <w:numId w:val="31"/>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As stated above, the standard of proof relates to the evidentiary threshold that a party must meet in order to prove the case that they are presenting to a judge.</w:t>
      </w:r>
    </w:p>
    <w:p w14:paraId="12DDB28C" w14:textId="17FB0318" w:rsidR="00453E0C" w:rsidRDefault="00453E0C" w:rsidP="00C90492">
      <w:pPr>
        <w:pStyle w:val="Default"/>
        <w:numPr>
          <w:ilvl w:val="0"/>
          <w:numId w:val="31"/>
        </w:numPr>
        <w:spacing w:after="200"/>
        <w:jc w:val="both"/>
        <w:rPr>
          <w:rStyle w:val="Hyperlink"/>
          <w:rFonts w:ascii="Arial" w:hAnsi="Arial" w:cs="Arial"/>
          <w:color w:val="auto"/>
          <w:u w:val="none"/>
          <w:lang w:val="en-CA"/>
        </w:rPr>
      </w:pPr>
      <w:proofErr w:type="spellStart"/>
      <w:r>
        <w:rPr>
          <w:rStyle w:val="Hyperlink"/>
          <w:rFonts w:ascii="Arial" w:hAnsi="Arial" w:cs="Arial"/>
          <w:i/>
          <w:color w:val="auto"/>
          <w:u w:val="none"/>
          <w:lang w:val="en-CA"/>
        </w:rPr>
        <w:t>Sopinka</w:t>
      </w:r>
      <w:proofErr w:type="spellEnd"/>
      <w:r>
        <w:rPr>
          <w:rStyle w:val="Hyperlink"/>
          <w:rFonts w:ascii="Arial" w:hAnsi="Arial" w:cs="Arial"/>
          <w:i/>
          <w:color w:val="auto"/>
          <w:u w:val="none"/>
          <w:lang w:val="en-CA"/>
        </w:rPr>
        <w:t xml:space="preserve">, Lederman &amp; Bryant: </w:t>
      </w:r>
      <w:r w:rsidRPr="00D23478">
        <w:rPr>
          <w:rStyle w:val="Hyperlink"/>
          <w:rFonts w:ascii="Arial" w:hAnsi="Arial" w:cs="Arial"/>
          <w:i/>
          <w:color w:val="auto"/>
          <w:u w:val="none"/>
          <w:lang w:val="en-CA"/>
        </w:rPr>
        <w:t>The</w:t>
      </w:r>
      <w:r>
        <w:rPr>
          <w:rStyle w:val="Hyperlink"/>
          <w:rFonts w:ascii="Arial" w:hAnsi="Arial" w:cs="Arial"/>
          <w:i/>
          <w:color w:val="auto"/>
          <w:u w:val="none"/>
          <w:lang w:val="en-CA"/>
        </w:rPr>
        <w:t xml:space="preserve"> Law of Evidence in Canada</w:t>
      </w:r>
      <w:r>
        <w:rPr>
          <w:rStyle w:val="Hyperlink"/>
          <w:rFonts w:ascii="Arial" w:hAnsi="Arial" w:cs="Arial"/>
          <w:color w:val="auto"/>
          <w:u w:val="none"/>
          <w:lang w:val="en-CA"/>
        </w:rPr>
        <w:t xml:space="preserve"> </w:t>
      </w:r>
      <w:r w:rsidR="000810CF">
        <w:rPr>
          <w:rStyle w:val="Hyperlink"/>
          <w:rFonts w:ascii="Arial" w:hAnsi="Arial" w:cs="Arial"/>
          <w:color w:val="auto"/>
          <w:u w:val="none"/>
          <w:lang w:val="en-CA"/>
        </w:rPr>
        <w:t>states that</w:t>
      </w:r>
      <w:r>
        <w:rPr>
          <w:rStyle w:val="Hyperlink"/>
          <w:rFonts w:ascii="Arial" w:hAnsi="Arial" w:cs="Arial"/>
          <w:color w:val="auto"/>
          <w:u w:val="none"/>
          <w:lang w:val="en-CA"/>
        </w:rPr>
        <w:t xml:space="preserve"> the </w:t>
      </w:r>
      <w:r w:rsidR="000810CF">
        <w:rPr>
          <w:rStyle w:val="Hyperlink"/>
          <w:rFonts w:ascii="Arial" w:hAnsi="Arial" w:cs="Arial"/>
          <w:color w:val="auto"/>
          <w:u w:val="none"/>
          <w:lang w:val="en-CA"/>
        </w:rPr>
        <w:t xml:space="preserve">standard </w:t>
      </w:r>
      <w:r>
        <w:rPr>
          <w:rStyle w:val="Hyperlink"/>
          <w:rFonts w:ascii="Arial" w:hAnsi="Arial" w:cs="Arial"/>
          <w:color w:val="auto"/>
          <w:u w:val="none"/>
          <w:lang w:val="en-CA"/>
        </w:rPr>
        <w:t xml:space="preserve">of </w:t>
      </w:r>
      <w:r w:rsidR="000810CF">
        <w:rPr>
          <w:rStyle w:val="Hyperlink"/>
          <w:rFonts w:ascii="Arial" w:hAnsi="Arial" w:cs="Arial"/>
          <w:color w:val="auto"/>
          <w:u w:val="none"/>
          <w:lang w:val="en-CA"/>
        </w:rPr>
        <w:t xml:space="preserve">proof differs whether it is in the context of a civil or criminal matter. In a criminal matter, the standard is that of “beyond a reasonable doubt”. In civil proceedings, the standard is that of “a balance of probabilities”. </w:t>
      </w:r>
    </w:p>
    <w:p w14:paraId="6347BD95" w14:textId="68A6B702" w:rsidR="000810CF" w:rsidRDefault="000810CF" w:rsidP="00C90492">
      <w:pPr>
        <w:pStyle w:val="Default"/>
        <w:numPr>
          <w:ilvl w:val="0"/>
          <w:numId w:val="31"/>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 xml:space="preserve">In the decision of </w:t>
      </w:r>
      <w:r w:rsidRPr="000810CF">
        <w:rPr>
          <w:rStyle w:val="Hyperlink"/>
          <w:rFonts w:ascii="Arial" w:hAnsi="Arial" w:cs="Arial"/>
          <w:i/>
          <w:color w:val="auto"/>
          <w:u w:val="none"/>
          <w:lang w:val="en-CA"/>
        </w:rPr>
        <w:t>F.H. v. McDougall</w:t>
      </w:r>
      <w:r w:rsidRPr="000810CF">
        <w:rPr>
          <w:rStyle w:val="Hyperlink"/>
          <w:rFonts w:ascii="Arial" w:hAnsi="Arial" w:cs="Arial"/>
          <w:color w:val="auto"/>
          <w:u w:val="none"/>
          <w:lang w:val="en-CA"/>
        </w:rPr>
        <w:t xml:space="preserve">, </w:t>
      </w:r>
      <w:hyperlink r:id="rId50" w:history="1">
        <w:r w:rsidRPr="000810CF">
          <w:rPr>
            <w:rStyle w:val="Hyperlink"/>
            <w:rFonts w:ascii="Arial" w:hAnsi="Arial" w:cs="Arial"/>
            <w:u w:val="none"/>
            <w:lang w:val="en-CA"/>
          </w:rPr>
          <w:t>2008 SCC 53</w:t>
        </w:r>
      </w:hyperlink>
      <w:r>
        <w:rPr>
          <w:rStyle w:val="Hyperlink"/>
          <w:rFonts w:ascii="Arial" w:hAnsi="Arial" w:cs="Arial"/>
          <w:color w:val="auto"/>
          <w:u w:val="none"/>
          <w:lang w:val="en-CA"/>
        </w:rPr>
        <w:t xml:space="preserve">, Rothstein J., writing for a unanimous Court, commented on the “shifting standard of proof” in civil matters. In prior jurisprudence, the </w:t>
      </w:r>
      <w:r w:rsidR="002A5818">
        <w:rPr>
          <w:rStyle w:val="Hyperlink"/>
          <w:rFonts w:ascii="Arial" w:hAnsi="Arial" w:cs="Arial"/>
          <w:color w:val="auto"/>
          <w:u w:val="none"/>
          <w:lang w:val="en-CA"/>
        </w:rPr>
        <w:t>standard for the balance of probabilities would shift in relation to the severity of the allegations made against the defendant.</w:t>
      </w:r>
    </w:p>
    <w:p w14:paraId="5EC7C84D" w14:textId="5A91E9B5" w:rsidR="002A5818" w:rsidRDefault="002A5818" w:rsidP="00C90492">
      <w:pPr>
        <w:pStyle w:val="Default"/>
        <w:numPr>
          <w:ilvl w:val="0"/>
          <w:numId w:val="31"/>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After a review of the jurisprudence from Canada and United Kingdom on the subject, Rothstein J. came to the following conclusion at para. 40:</w:t>
      </w:r>
    </w:p>
    <w:p w14:paraId="2ABFB8D2" w14:textId="49FCB7A5" w:rsidR="002A5818" w:rsidRPr="002A5818" w:rsidRDefault="002A5818" w:rsidP="00C90492">
      <w:pPr>
        <w:pStyle w:val="Default"/>
        <w:tabs>
          <w:tab w:val="left" w:pos="360"/>
        </w:tabs>
        <w:spacing w:after="200"/>
        <w:ind w:left="720" w:right="720"/>
        <w:jc w:val="both"/>
        <w:rPr>
          <w:rStyle w:val="Hyperlink"/>
          <w:rFonts w:ascii="Arial" w:hAnsi="Arial" w:cs="Arial"/>
          <w:i/>
          <w:color w:val="auto"/>
          <w:sz w:val="22"/>
          <w:u w:val="none"/>
          <w:lang w:val="en-CA"/>
        </w:rPr>
      </w:pPr>
      <w:r w:rsidRPr="002A5818">
        <w:rPr>
          <w:rStyle w:val="Hyperlink"/>
          <w:rFonts w:ascii="Arial" w:hAnsi="Arial" w:cs="Arial"/>
          <w:i/>
          <w:color w:val="auto"/>
          <w:sz w:val="22"/>
          <w:u w:val="none"/>
          <w:lang w:val="en-CA"/>
        </w:rPr>
        <w:t>40      Like the House of Lords, I think it is time to say, once and for all in Canada, that there is only one civil standard of proof at common law and that is proof on a balance of probabilities. Of course, context is all important and a judge should not be unmindful, where appropriate, of inherent probabilities or improbabilities or the seriousness of the allegations or consequences. However, these considerations do not change the standard of proof…</w:t>
      </w:r>
    </w:p>
    <w:p w14:paraId="42B38D85" w14:textId="0EB28D14" w:rsidR="002A5818" w:rsidRPr="005F0942" w:rsidRDefault="002A5818" w:rsidP="00C90492">
      <w:pPr>
        <w:pStyle w:val="Default"/>
        <w:numPr>
          <w:ilvl w:val="0"/>
          <w:numId w:val="31"/>
        </w:numPr>
        <w:spacing w:after="200"/>
        <w:jc w:val="both"/>
        <w:rPr>
          <w:rStyle w:val="Hyperlink"/>
          <w:rFonts w:ascii="Arial" w:hAnsi="Arial" w:cs="Arial"/>
          <w:color w:val="auto"/>
          <w:u w:val="none"/>
          <w:lang w:val="en-CA"/>
        </w:rPr>
      </w:pPr>
      <w:r w:rsidRPr="005F0942">
        <w:rPr>
          <w:rStyle w:val="Hyperlink"/>
          <w:rFonts w:ascii="Arial" w:hAnsi="Arial" w:cs="Arial"/>
          <w:color w:val="auto"/>
          <w:u w:val="none"/>
          <w:lang w:val="en-CA"/>
        </w:rPr>
        <w:t>At paras. 45 &amp; 46, Rothstein J. expanded upon what the balance of probabilities entails:</w:t>
      </w:r>
    </w:p>
    <w:p w14:paraId="6133B963" w14:textId="77777777" w:rsidR="002A5818" w:rsidRPr="005F0942" w:rsidRDefault="002A5818" w:rsidP="002A5818">
      <w:pPr>
        <w:pStyle w:val="Default"/>
        <w:keepNext/>
        <w:keepLines/>
        <w:spacing w:after="200"/>
        <w:ind w:left="720" w:right="720"/>
        <w:jc w:val="both"/>
        <w:rPr>
          <w:rFonts w:ascii="Arial" w:hAnsi="Arial" w:cs="Arial"/>
          <w:i/>
          <w:color w:val="212121"/>
          <w:sz w:val="22"/>
          <w:szCs w:val="21"/>
        </w:rPr>
      </w:pPr>
      <w:r w:rsidRPr="005F0942">
        <w:rPr>
          <w:rFonts w:ascii="Arial" w:hAnsi="Arial" w:cs="Arial"/>
          <w:i/>
          <w:color w:val="212121"/>
          <w:sz w:val="22"/>
          <w:szCs w:val="21"/>
        </w:rPr>
        <w:t>45 To suggest that depending upon the seriousness, the evidence in the civil case must be scrutinized with greater care implies that in less serious cases the evidence need not be scrutinized with such care. I think it is inappropriate to say that there are legally recognized different levels of scrutiny of the evidence depending upon the seriousness of the case. There is only one legal rule and that is that in all cases, evidence must be scrutinized with care by the trial judge.</w:t>
      </w:r>
    </w:p>
    <w:p w14:paraId="185BF85D" w14:textId="0082AD70" w:rsidR="002A5818" w:rsidRPr="005F0942" w:rsidRDefault="002A5818" w:rsidP="002A5818">
      <w:pPr>
        <w:pStyle w:val="Default"/>
        <w:keepNext/>
        <w:keepLines/>
        <w:spacing w:after="200"/>
        <w:ind w:left="720" w:right="720"/>
        <w:jc w:val="both"/>
        <w:rPr>
          <w:rFonts w:ascii="Arial" w:hAnsi="Arial" w:cs="Arial"/>
          <w:i/>
          <w:color w:val="212121"/>
          <w:sz w:val="22"/>
          <w:szCs w:val="21"/>
        </w:rPr>
      </w:pPr>
      <w:r w:rsidRPr="005F0942">
        <w:rPr>
          <w:rFonts w:ascii="Arial" w:hAnsi="Arial" w:cs="Arial"/>
          <w:i/>
          <w:color w:val="212121"/>
          <w:sz w:val="22"/>
          <w:szCs w:val="21"/>
        </w:rPr>
        <w:t>46 Similarly, evidence must always be sufficiently clear, convincing and cogent to satisfy the balance of probabilities test. But again, there is no objective standard to measure sufficiency. In serious cases, like the present, judges may be faced with evidence of events that are alleged to have occurred many years before, where there is little other evidence than that of the plaintiff and defendant. As difficult as the task may be, the judge must make a decision. If a responsible judge finds for the plaintiff, it must be accepted that the evidence was sufficiently clear, convincing and cogent to that judge that the plaintiff satisfied the balance of probabilities test.</w:t>
      </w:r>
    </w:p>
    <w:p w14:paraId="29D0BD93" w14:textId="77777777" w:rsidR="005E641A" w:rsidRDefault="005E641A" w:rsidP="005E641A">
      <w:pPr>
        <w:pStyle w:val="Default"/>
        <w:keepNext/>
        <w:keepLines/>
        <w:spacing w:after="200"/>
        <w:ind w:left="662"/>
        <w:jc w:val="both"/>
        <w:rPr>
          <w:rStyle w:val="Hyperlink"/>
          <w:rFonts w:ascii="Arial" w:hAnsi="Arial" w:cs="Arial"/>
          <w:b/>
          <w:color w:val="auto"/>
          <w:u w:val="none"/>
          <w:lang w:val="en-CA"/>
        </w:rPr>
      </w:pPr>
    </w:p>
    <w:p w14:paraId="0601F631" w14:textId="3233D71B" w:rsidR="00485E20" w:rsidRPr="0019776A" w:rsidRDefault="00485E20" w:rsidP="0077161A">
      <w:pPr>
        <w:pStyle w:val="Default"/>
        <w:keepNext/>
        <w:keepLines/>
        <w:numPr>
          <w:ilvl w:val="1"/>
          <w:numId w:val="33"/>
        </w:numPr>
        <w:spacing w:after="200"/>
        <w:ind w:left="662" w:hanging="662"/>
        <w:jc w:val="both"/>
        <w:rPr>
          <w:rStyle w:val="Hyperlink"/>
          <w:rFonts w:ascii="Arial" w:hAnsi="Arial" w:cs="Arial"/>
          <w:b/>
          <w:color w:val="auto"/>
          <w:u w:val="none"/>
          <w:lang w:val="en-CA"/>
        </w:rPr>
      </w:pPr>
      <w:r w:rsidRPr="0019776A">
        <w:rPr>
          <w:rStyle w:val="Hyperlink"/>
          <w:rFonts w:ascii="Arial" w:hAnsi="Arial" w:cs="Arial"/>
          <w:b/>
          <w:color w:val="auto"/>
          <w:u w:val="none"/>
          <w:lang w:val="en-CA"/>
        </w:rPr>
        <w:t>Apportionment of fault</w:t>
      </w:r>
    </w:p>
    <w:p w14:paraId="144E7844" w14:textId="77777777" w:rsidR="00485E20" w:rsidRPr="0019776A" w:rsidRDefault="00485E20" w:rsidP="0077161A">
      <w:pPr>
        <w:pStyle w:val="Default"/>
        <w:keepNext/>
        <w:keepLines/>
        <w:spacing w:after="200"/>
        <w:jc w:val="both"/>
        <w:rPr>
          <w:rStyle w:val="Hyperlink"/>
          <w:rFonts w:ascii="Arial" w:hAnsi="Arial" w:cs="Arial"/>
          <w:b/>
          <w:i/>
          <w:color w:val="auto"/>
          <w:u w:val="none"/>
          <w:lang w:val="en-CA"/>
        </w:rPr>
      </w:pPr>
      <w:r w:rsidRPr="0019776A">
        <w:rPr>
          <w:rStyle w:val="Hyperlink"/>
          <w:rFonts w:ascii="Arial" w:hAnsi="Arial" w:cs="Arial"/>
          <w:b/>
          <w:i/>
          <w:color w:val="auto"/>
          <w:u w:val="none"/>
          <w:lang w:val="en-CA"/>
        </w:rPr>
        <w:t>Contributory negligence</w:t>
      </w:r>
    </w:p>
    <w:p w14:paraId="2168809A" w14:textId="77777777" w:rsidR="00485E20" w:rsidRPr="0019776A" w:rsidRDefault="00485E20" w:rsidP="00EF10C2">
      <w:pPr>
        <w:pStyle w:val="ListParagraph"/>
        <w:numPr>
          <w:ilvl w:val="0"/>
          <w:numId w:val="18"/>
        </w:numPr>
        <w:spacing w:line="276" w:lineRule="auto"/>
        <w:jc w:val="both"/>
        <w:rPr>
          <w:rFonts w:ascii="Arial" w:hAnsi="Arial" w:cs="Arial"/>
          <w:sz w:val="24"/>
          <w:szCs w:val="24"/>
          <w:lang w:val="en-CA"/>
        </w:rPr>
      </w:pPr>
      <w:r w:rsidRPr="0019776A">
        <w:rPr>
          <w:rFonts w:ascii="Arial" w:hAnsi="Arial" w:cs="Arial"/>
          <w:sz w:val="24"/>
          <w:szCs w:val="24"/>
          <w:lang w:val="en-CA"/>
        </w:rPr>
        <w:t>Even though a plaintiff may have suffered damage or loss attributable to another’s negligence, the plaintiff’s claim to damages may be reduced or eliminated if the plaintiff has failed to take reasonable care for his or her own safety, and his or her own negligence has contributed to that loss.  In other words, where the plaintiff’s own negligence contributes to his or her injury, his or her right to fully recover is for that loss may be correspondingly affected.</w:t>
      </w:r>
    </w:p>
    <w:p w14:paraId="411A5AC1" w14:textId="77777777" w:rsidR="00485E20" w:rsidRPr="0019776A" w:rsidRDefault="00485E20" w:rsidP="00485E20">
      <w:pPr>
        <w:pStyle w:val="ListParagraph"/>
        <w:ind w:left="360"/>
        <w:jc w:val="both"/>
        <w:rPr>
          <w:rFonts w:ascii="Arial" w:hAnsi="Arial" w:cs="Arial"/>
          <w:sz w:val="24"/>
          <w:szCs w:val="24"/>
          <w:lang w:val="en-CA"/>
        </w:rPr>
      </w:pPr>
    </w:p>
    <w:p w14:paraId="5D9AD1D9" w14:textId="728B4913" w:rsidR="00485E20" w:rsidRPr="0019776A" w:rsidRDefault="005F0942" w:rsidP="0077161A">
      <w:pPr>
        <w:pStyle w:val="ListParagraph"/>
        <w:numPr>
          <w:ilvl w:val="0"/>
          <w:numId w:val="18"/>
        </w:numPr>
        <w:spacing w:line="276" w:lineRule="auto"/>
        <w:jc w:val="both"/>
        <w:rPr>
          <w:rFonts w:ascii="Arial" w:hAnsi="Arial" w:cs="Arial"/>
          <w:sz w:val="24"/>
          <w:szCs w:val="24"/>
          <w:lang w:val="en-CA"/>
        </w:rPr>
      </w:pPr>
      <w:r>
        <w:rPr>
          <w:rFonts w:ascii="Arial" w:hAnsi="Arial" w:cs="Arial"/>
          <w:sz w:val="24"/>
          <w:szCs w:val="24"/>
          <w:lang w:val="en-CA"/>
        </w:rPr>
        <w:t>T</w:t>
      </w:r>
      <w:r w:rsidR="00485E20" w:rsidRPr="0019776A">
        <w:rPr>
          <w:rFonts w:ascii="Arial" w:hAnsi="Arial" w:cs="Arial"/>
          <w:sz w:val="24"/>
          <w:szCs w:val="24"/>
          <w:lang w:val="en-CA"/>
        </w:rPr>
        <w:t xml:space="preserve">he definition of contributory negligence was re-stated by the Supreme Court of Canada in </w:t>
      </w:r>
      <w:r w:rsidR="00485E20" w:rsidRPr="0019776A">
        <w:rPr>
          <w:rFonts w:ascii="Arial" w:hAnsi="Arial" w:cs="Arial"/>
          <w:i/>
          <w:sz w:val="24"/>
          <w:szCs w:val="24"/>
          <w:lang w:val="en-CA"/>
        </w:rPr>
        <w:t xml:space="preserve">Bow Valley </w:t>
      </w:r>
      <w:proofErr w:type="spellStart"/>
      <w:r w:rsidR="00485E20" w:rsidRPr="0019776A">
        <w:rPr>
          <w:rFonts w:ascii="Arial" w:hAnsi="Arial" w:cs="Arial"/>
          <w:i/>
          <w:sz w:val="24"/>
          <w:szCs w:val="24"/>
          <w:lang w:val="en-CA"/>
        </w:rPr>
        <w:t>Jusky</w:t>
      </w:r>
      <w:proofErr w:type="spellEnd"/>
      <w:r w:rsidR="00485E20" w:rsidRPr="0019776A">
        <w:rPr>
          <w:rFonts w:ascii="Arial" w:hAnsi="Arial" w:cs="Arial"/>
          <w:i/>
          <w:sz w:val="24"/>
          <w:szCs w:val="24"/>
          <w:lang w:val="en-CA"/>
        </w:rPr>
        <w:t xml:space="preserve"> (Bermuda) Ltd. v. Saint John Shipbuilding Ltd.,</w:t>
      </w:r>
      <w:r w:rsidR="00485E20" w:rsidRPr="0019776A">
        <w:rPr>
          <w:rFonts w:ascii="Arial" w:hAnsi="Arial" w:cs="Arial"/>
          <w:sz w:val="24"/>
          <w:szCs w:val="24"/>
          <w:lang w:val="en-CA"/>
        </w:rPr>
        <w:t xml:space="preserve"> </w:t>
      </w:r>
      <w:hyperlink r:id="rId51" w:history="1">
        <w:r w:rsidR="00485E20" w:rsidRPr="0019776A">
          <w:rPr>
            <w:rStyle w:val="Hyperlink"/>
            <w:rFonts w:ascii="Arial" w:hAnsi="Arial" w:cs="Arial"/>
            <w:sz w:val="24"/>
            <w:szCs w:val="24"/>
            <w:u w:val="none"/>
            <w:lang w:val="en-CA"/>
          </w:rPr>
          <w:t>[1997] 3 S.C.R. 1210</w:t>
        </w:r>
      </w:hyperlink>
      <w:r w:rsidR="00485E20" w:rsidRPr="0019776A">
        <w:rPr>
          <w:rFonts w:ascii="Arial" w:hAnsi="Arial" w:cs="Arial"/>
          <w:sz w:val="24"/>
          <w:szCs w:val="24"/>
          <w:lang w:val="en-CA"/>
        </w:rPr>
        <w:t xml:space="preserve"> where the Court stated:</w:t>
      </w:r>
    </w:p>
    <w:p w14:paraId="177169A5" w14:textId="77777777" w:rsidR="00485E20" w:rsidRPr="0019776A" w:rsidRDefault="00485E20" w:rsidP="0077161A">
      <w:pPr>
        <w:pStyle w:val="ListParagraph"/>
        <w:spacing w:line="276" w:lineRule="auto"/>
        <w:ind w:left="360"/>
        <w:jc w:val="both"/>
        <w:rPr>
          <w:rFonts w:ascii="Arial" w:hAnsi="Arial" w:cs="Arial"/>
          <w:sz w:val="24"/>
          <w:szCs w:val="24"/>
          <w:lang w:val="en-CA"/>
        </w:rPr>
      </w:pPr>
    </w:p>
    <w:p w14:paraId="74EEA36C" w14:textId="77777777" w:rsidR="00485E20" w:rsidRPr="0019776A" w:rsidRDefault="00485E20" w:rsidP="0077161A">
      <w:pPr>
        <w:pStyle w:val="ListParagraph"/>
        <w:spacing w:line="276" w:lineRule="auto"/>
        <w:ind w:right="720"/>
        <w:jc w:val="both"/>
        <w:rPr>
          <w:rFonts w:ascii="Arial" w:hAnsi="Arial" w:cs="Arial"/>
          <w:sz w:val="24"/>
          <w:szCs w:val="24"/>
          <w:lang w:val="en-CA"/>
        </w:rPr>
      </w:pPr>
      <w:r w:rsidRPr="0019776A">
        <w:rPr>
          <w:rFonts w:ascii="Arial" w:hAnsi="Arial" w:cs="Arial"/>
          <w:szCs w:val="24"/>
          <w:lang w:val="en-CA"/>
        </w:rPr>
        <w:t xml:space="preserve">“ </w:t>
      </w:r>
      <w:r w:rsidRPr="0019776A">
        <w:rPr>
          <w:rFonts w:ascii="Arial" w:hAnsi="Arial" w:cs="Arial"/>
          <w:i/>
          <w:szCs w:val="24"/>
          <w:lang w:val="en-CA"/>
        </w:rPr>
        <w:t>…when contributory negligence is set up as a defence, its existence does not depend on any duty owed by the injured party to the party sued, and all that is necessary to establish such a defence is to prove to the satisfaction of the jury that the injured party did not in his own interest take reasonable care of himself and contributed, by this want of care, to his own injury. For when contributory negligence is set up as a shield against the obligation to satisfy the whole of the plaintiffs claim, the principle involved is that, where a man is part author of his own injury, he cannot call on the other party to compensate him in full</w:t>
      </w:r>
      <w:r w:rsidRPr="0019776A">
        <w:rPr>
          <w:rFonts w:ascii="Arial" w:hAnsi="Arial" w:cs="Arial"/>
          <w:szCs w:val="24"/>
          <w:lang w:val="en-CA"/>
        </w:rPr>
        <w:t>.”</w:t>
      </w:r>
    </w:p>
    <w:p w14:paraId="02006731" w14:textId="77777777" w:rsidR="00485E20" w:rsidRPr="0019776A" w:rsidRDefault="00485E20" w:rsidP="0077161A">
      <w:pPr>
        <w:jc w:val="both"/>
        <w:rPr>
          <w:rFonts w:ascii="Arial" w:hAnsi="Arial" w:cs="Arial"/>
          <w:sz w:val="24"/>
          <w:szCs w:val="24"/>
          <w:lang w:val="en-CA"/>
        </w:rPr>
      </w:pPr>
    </w:p>
    <w:p w14:paraId="64836724" w14:textId="77777777" w:rsidR="00485E20" w:rsidRPr="0019776A" w:rsidRDefault="00485E20" w:rsidP="0077161A">
      <w:pPr>
        <w:pStyle w:val="ListParagraph"/>
        <w:numPr>
          <w:ilvl w:val="0"/>
          <w:numId w:val="18"/>
        </w:numPr>
        <w:spacing w:line="276" w:lineRule="auto"/>
        <w:jc w:val="both"/>
        <w:rPr>
          <w:rFonts w:ascii="Arial" w:hAnsi="Arial" w:cs="Arial"/>
          <w:sz w:val="24"/>
          <w:szCs w:val="24"/>
          <w:lang w:val="en-CA"/>
        </w:rPr>
      </w:pPr>
      <w:r w:rsidRPr="0019776A">
        <w:rPr>
          <w:rFonts w:ascii="Arial" w:hAnsi="Arial" w:cs="Arial"/>
          <w:sz w:val="24"/>
          <w:szCs w:val="24"/>
          <w:lang w:val="en-CA"/>
        </w:rPr>
        <w:t>Examples of contributory negligence include a plaintiff injured in a motor vehicle accident caused by another but not wearing a seat belt at the time of collision, jay-walking across a road without looking for traffic, or the fact that a plaintiff, at the time the damages occurred, was under the influence of alcohol.</w:t>
      </w:r>
    </w:p>
    <w:p w14:paraId="2018AD98" w14:textId="77777777" w:rsidR="00485E20" w:rsidRPr="0019776A" w:rsidRDefault="00485E20" w:rsidP="0077161A">
      <w:pPr>
        <w:pStyle w:val="ListParagraph"/>
        <w:rPr>
          <w:rFonts w:ascii="Arial" w:hAnsi="Arial" w:cs="Arial"/>
          <w:sz w:val="24"/>
          <w:szCs w:val="24"/>
          <w:lang w:val="en-CA"/>
        </w:rPr>
      </w:pPr>
    </w:p>
    <w:p w14:paraId="6DC85EB5" w14:textId="77777777" w:rsidR="00485E20" w:rsidRPr="0019776A" w:rsidRDefault="00485E20" w:rsidP="0077161A">
      <w:pPr>
        <w:pStyle w:val="ListParagraph"/>
        <w:numPr>
          <w:ilvl w:val="0"/>
          <w:numId w:val="18"/>
        </w:numPr>
        <w:spacing w:line="276" w:lineRule="auto"/>
        <w:jc w:val="both"/>
        <w:rPr>
          <w:rFonts w:ascii="Arial" w:hAnsi="Arial" w:cs="Arial"/>
          <w:sz w:val="24"/>
          <w:szCs w:val="24"/>
          <w:lang w:val="en-CA"/>
        </w:rPr>
      </w:pPr>
      <w:r w:rsidRPr="0019776A">
        <w:rPr>
          <w:rFonts w:ascii="Arial" w:hAnsi="Arial" w:cs="Arial"/>
          <w:sz w:val="24"/>
          <w:szCs w:val="24"/>
          <w:lang w:val="en-CA"/>
        </w:rPr>
        <w:t xml:space="preserve">Historically, contributory negligence was a complete defence to a plaintiff’s claim. Once the defendant was able to establish that the plaintiff contributed to his or her own loss, the plaintiff would be denied any means of recovery. That traditional contributory negligence bar has been replaced by provincial legislation which apportions liability between negligent defendants and contributorily negligent plaintiffs. While the provincial statutes have many similarities, some differ significantly as to whether defendants will be jointly and severally liable, as opposed to severally liable, where a plaintiff is contributorily negligent.  </w:t>
      </w:r>
    </w:p>
    <w:p w14:paraId="3AE63253" w14:textId="77777777" w:rsidR="00485E20" w:rsidRPr="0019776A" w:rsidRDefault="00485E20" w:rsidP="0077161A">
      <w:pPr>
        <w:pStyle w:val="ListParagraph"/>
        <w:rPr>
          <w:rFonts w:ascii="Arial" w:hAnsi="Arial" w:cs="Arial"/>
          <w:sz w:val="24"/>
          <w:szCs w:val="24"/>
          <w:lang w:val="en-CA"/>
        </w:rPr>
      </w:pPr>
    </w:p>
    <w:p w14:paraId="2C257BA3" w14:textId="71423499" w:rsidR="00485E20" w:rsidRPr="0019776A" w:rsidRDefault="00485E20" w:rsidP="0077161A">
      <w:pPr>
        <w:pStyle w:val="ListParagraph"/>
        <w:numPr>
          <w:ilvl w:val="0"/>
          <w:numId w:val="18"/>
        </w:numPr>
        <w:spacing w:line="276" w:lineRule="auto"/>
        <w:jc w:val="both"/>
        <w:rPr>
          <w:rFonts w:ascii="Arial" w:hAnsi="Arial" w:cs="Arial"/>
          <w:sz w:val="24"/>
          <w:szCs w:val="24"/>
          <w:lang w:val="en-CA"/>
        </w:rPr>
      </w:pPr>
      <w:r w:rsidRPr="0019776A">
        <w:rPr>
          <w:rFonts w:ascii="Arial" w:hAnsi="Arial" w:cs="Arial"/>
          <w:sz w:val="24"/>
          <w:szCs w:val="24"/>
          <w:lang w:val="en-CA"/>
        </w:rPr>
        <w:t xml:space="preserve">In BC the </w:t>
      </w:r>
      <w:hyperlink r:id="rId52" w:history="1">
        <w:r w:rsidR="00252E72" w:rsidRPr="00252E72">
          <w:rPr>
            <w:rStyle w:val="Hyperlink"/>
            <w:rFonts w:ascii="Arial" w:hAnsi="Arial" w:cs="Arial"/>
            <w:i/>
            <w:sz w:val="24"/>
            <w:szCs w:val="24"/>
            <w:u w:val="none"/>
            <w:lang w:val="en-CA"/>
          </w:rPr>
          <w:t>Negligence Act,</w:t>
        </w:r>
        <w:r w:rsidR="00252E72">
          <w:rPr>
            <w:rStyle w:val="Hyperlink"/>
            <w:rFonts w:ascii="Arial" w:hAnsi="Arial" w:cs="Arial"/>
            <w:sz w:val="24"/>
            <w:szCs w:val="24"/>
            <w:u w:val="none"/>
            <w:lang w:val="en-CA"/>
          </w:rPr>
          <w:t xml:space="preserve"> RSBC 1996, c. 333</w:t>
        </w:r>
      </w:hyperlink>
      <w:r w:rsidRPr="0019776A">
        <w:rPr>
          <w:rFonts w:ascii="Arial" w:hAnsi="Arial" w:cs="Arial"/>
          <w:i/>
          <w:sz w:val="24"/>
          <w:szCs w:val="24"/>
          <w:lang w:val="en-CA"/>
        </w:rPr>
        <w:t xml:space="preserve"> </w:t>
      </w:r>
      <w:r w:rsidRPr="0019776A">
        <w:rPr>
          <w:rFonts w:ascii="Arial" w:hAnsi="Arial" w:cs="Arial"/>
          <w:sz w:val="24"/>
          <w:szCs w:val="24"/>
          <w:lang w:val="en-CA"/>
        </w:rPr>
        <w:t>governs the apportionment of liabili</w:t>
      </w:r>
      <w:r w:rsidR="002D78AA">
        <w:rPr>
          <w:rFonts w:ascii="Arial" w:hAnsi="Arial" w:cs="Arial"/>
          <w:sz w:val="24"/>
          <w:szCs w:val="24"/>
          <w:lang w:val="en-CA"/>
        </w:rPr>
        <w:t xml:space="preserve">ty between negligent parties. </w:t>
      </w:r>
      <w:r w:rsidRPr="0019776A">
        <w:rPr>
          <w:rFonts w:ascii="Arial" w:hAnsi="Arial" w:cs="Arial"/>
          <w:sz w:val="24"/>
          <w:szCs w:val="24"/>
          <w:lang w:val="en-CA"/>
        </w:rPr>
        <w:t xml:space="preserve">Sections 1, 2(c), and 4 of the </w:t>
      </w:r>
      <w:r w:rsidRPr="00996AE6">
        <w:rPr>
          <w:rFonts w:ascii="Arial" w:hAnsi="Arial" w:cs="Arial"/>
          <w:i/>
          <w:sz w:val="24"/>
          <w:szCs w:val="24"/>
          <w:lang w:val="en-CA"/>
        </w:rPr>
        <w:t>Act</w:t>
      </w:r>
      <w:r w:rsidRPr="0019776A">
        <w:rPr>
          <w:rFonts w:ascii="Arial" w:hAnsi="Arial" w:cs="Arial"/>
          <w:sz w:val="24"/>
          <w:szCs w:val="24"/>
          <w:lang w:val="en-CA"/>
        </w:rPr>
        <w:t xml:space="preserve"> read as follows: </w:t>
      </w:r>
    </w:p>
    <w:p w14:paraId="3504DBC1" w14:textId="77777777" w:rsidR="00485E20" w:rsidRPr="0019776A" w:rsidRDefault="00485E20" w:rsidP="0077161A">
      <w:pPr>
        <w:pStyle w:val="ListParagraph"/>
        <w:rPr>
          <w:rFonts w:ascii="Arial" w:hAnsi="Arial" w:cs="Arial"/>
          <w:sz w:val="24"/>
          <w:szCs w:val="24"/>
          <w:lang w:val="en-CA"/>
        </w:rPr>
      </w:pPr>
    </w:p>
    <w:p w14:paraId="166F5627" w14:textId="77777777" w:rsidR="00485E20" w:rsidRPr="0019776A" w:rsidRDefault="00485E20" w:rsidP="0077161A">
      <w:pPr>
        <w:pStyle w:val="ListParagraph"/>
        <w:ind w:left="1134" w:right="288" w:hanging="425"/>
        <w:jc w:val="both"/>
        <w:rPr>
          <w:rFonts w:ascii="Arial" w:hAnsi="Arial" w:cs="Arial"/>
          <w:i/>
          <w:szCs w:val="24"/>
          <w:lang w:val="en-CA"/>
        </w:rPr>
      </w:pPr>
      <w:r w:rsidRPr="0019776A">
        <w:rPr>
          <w:rFonts w:ascii="Arial" w:hAnsi="Arial" w:cs="Arial"/>
          <w:i/>
          <w:szCs w:val="24"/>
          <w:lang w:val="en-CA"/>
        </w:rPr>
        <w:t xml:space="preserve">1 (1) If by the fault of 2 or more persons damage or loss is caused to one or more of them, the liability to make good the damage or loss is in proportion to the degree to which each person was at fault. </w:t>
      </w:r>
    </w:p>
    <w:p w14:paraId="4848E43E" w14:textId="77777777" w:rsidR="00485E20" w:rsidRPr="0019776A" w:rsidRDefault="00485E20" w:rsidP="0077161A">
      <w:pPr>
        <w:pStyle w:val="ListParagraph"/>
        <w:ind w:left="1134" w:right="288"/>
        <w:jc w:val="both"/>
        <w:rPr>
          <w:rFonts w:ascii="Arial" w:hAnsi="Arial" w:cs="Arial"/>
          <w:i/>
          <w:szCs w:val="24"/>
          <w:lang w:val="en-CA"/>
        </w:rPr>
      </w:pPr>
      <w:r w:rsidRPr="0019776A">
        <w:rPr>
          <w:rFonts w:ascii="Arial" w:hAnsi="Arial" w:cs="Arial"/>
          <w:i/>
          <w:szCs w:val="24"/>
          <w:lang w:val="en-CA"/>
        </w:rPr>
        <w:t xml:space="preserve">(2) Despite subsection (1), if, having regard to all the circumstances of the case, it is not possible to establish different degrees of fault, the liability must be apportioned equally. </w:t>
      </w:r>
    </w:p>
    <w:p w14:paraId="2F6902B4" w14:textId="77777777" w:rsidR="00485E20" w:rsidRPr="0019776A" w:rsidRDefault="00485E20" w:rsidP="0077161A">
      <w:pPr>
        <w:pStyle w:val="ListParagraph"/>
        <w:ind w:left="1134" w:right="288"/>
        <w:jc w:val="both"/>
        <w:rPr>
          <w:rFonts w:ascii="Arial" w:hAnsi="Arial" w:cs="Arial"/>
          <w:i/>
          <w:szCs w:val="24"/>
          <w:lang w:val="en-CA"/>
        </w:rPr>
      </w:pPr>
      <w:r w:rsidRPr="0019776A">
        <w:rPr>
          <w:rFonts w:ascii="Arial" w:hAnsi="Arial" w:cs="Arial"/>
          <w:i/>
          <w:szCs w:val="24"/>
          <w:lang w:val="en-CA"/>
        </w:rPr>
        <w:t xml:space="preserve">(3) Nothing in this section operates to make a person liable for damage or loss to which the person's fault has not contributed. </w:t>
      </w:r>
    </w:p>
    <w:p w14:paraId="6A99879C" w14:textId="77777777" w:rsidR="00485E20" w:rsidRPr="0019776A" w:rsidRDefault="00485E20" w:rsidP="0077161A">
      <w:pPr>
        <w:pStyle w:val="ListParagraph"/>
        <w:ind w:left="1134" w:right="288" w:hanging="425"/>
        <w:jc w:val="both"/>
        <w:rPr>
          <w:rFonts w:ascii="Arial" w:hAnsi="Arial" w:cs="Arial"/>
          <w:i/>
          <w:szCs w:val="24"/>
          <w:lang w:val="en-CA"/>
        </w:rPr>
      </w:pPr>
    </w:p>
    <w:p w14:paraId="1EF44BCF" w14:textId="248C714E" w:rsidR="00485E20" w:rsidRPr="0019776A" w:rsidRDefault="00485E20" w:rsidP="0077161A">
      <w:pPr>
        <w:pStyle w:val="ListParagraph"/>
        <w:ind w:left="1134" w:right="288" w:hanging="425"/>
        <w:jc w:val="both"/>
        <w:rPr>
          <w:rFonts w:ascii="Arial" w:hAnsi="Arial" w:cs="Arial"/>
          <w:i/>
          <w:szCs w:val="24"/>
          <w:lang w:val="en-CA"/>
        </w:rPr>
      </w:pPr>
      <w:r w:rsidRPr="0019776A">
        <w:rPr>
          <w:rFonts w:ascii="Arial" w:hAnsi="Arial" w:cs="Arial"/>
          <w:i/>
          <w:szCs w:val="24"/>
          <w:lang w:val="en-CA"/>
        </w:rPr>
        <w:t>2 The awarding of damage or loss in every action to which section 1 applies is governed by the following rules</w:t>
      </w:r>
      <w:r w:rsidR="002775BC">
        <w:rPr>
          <w:rFonts w:ascii="Arial" w:hAnsi="Arial" w:cs="Arial"/>
          <w:i/>
          <w:szCs w:val="24"/>
          <w:lang w:val="en-CA"/>
        </w:rPr>
        <w:t xml:space="preserve">: </w:t>
      </w:r>
      <w:r w:rsidR="002775BC" w:rsidRPr="0019776A">
        <w:rPr>
          <w:rFonts w:ascii="Arial" w:hAnsi="Arial" w:cs="Arial"/>
          <w:i/>
          <w:szCs w:val="24"/>
          <w:lang w:val="en-CA"/>
        </w:rPr>
        <w:t>…</w:t>
      </w:r>
      <w:r w:rsidRPr="0019776A">
        <w:rPr>
          <w:rFonts w:ascii="Arial" w:hAnsi="Arial" w:cs="Arial"/>
          <w:i/>
          <w:szCs w:val="24"/>
          <w:lang w:val="en-CA"/>
        </w:rPr>
        <w:t xml:space="preserve"> </w:t>
      </w:r>
    </w:p>
    <w:p w14:paraId="1D0CF967" w14:textId="77777777" w:rsidR="00485E20" w:rsidRPr="0019776A" w:rsidRDefault="00485E20" w:rsidP="0077161A">
      <w:pPr>
        <w:pStyle w:val="ListParagraph"/>
        <w:ind w:left="1134" w:right="288"/>
        <w:jc w:val="both"/>
        <w:rPr>
          <w:rFonts w:ascii="Arial" w:hAnsi="Arial" w:cs="Arial"/>
          <w:i/>
          <w:szCs w:val="24"/>
          <w:lang w:val="en-CA"/>
        </w:rPr>
      </w:pPr>
      <w:r w:rsidRPr="0019776A">
        <w:rPr>
          <w:rFonts w:ascii="Arial" w:hAnsi="Arial" w:cs="Arial"/>
          <w:i/>
          <w:szCs w:val="24"/>
          <w:lang w:val="en-CA"/>
        </w:rPr>
        <w:t xml:space="preserve">(c) as between each person who has sustained damage or loss and each other person who is liable to make good the damage or loss, the person sustaining the damage or loss is entitled to recover from that other person the percentage of the damage or loss sustained that corresponds to the degree of fault of that other person; </w:t>
      </w:r>
    </w:p>
    <w:p w14:paraId="15C8968C" w14:textId="77777777" w:rsidR="00485E20" w:rsidRPr="0019776A" w:rsidRDefault="00485E20" w:rsidP="00485E20">
      <w:pPr>
        <w:pStyle w:val="ListParagraph"/>
        <w:ind w:left="1134" w:right="288" w:hanging="425"/>
        <w:jc w:val="both"/>
        <w:rPr>
          <w:rFonts w:ascii="Arial" w:hAnsi="Arial" w:cs="Arial"/>
          <w:i/>
          <w:szCs w:val="24"/>
          <w:lang w:val="en-CA"/>
        </w:rPr>
      </w:pPr>
    </w:p>
    <w:p w14:paraId="4B444031" w14:textId="77777777" w:rsidR="00485E20" w:rsidRPr="0019776A" w:rsidRDefault="00485E20" w:rsidP="00485E20">
      <w:pPr>
        <w:pStyle w:val="ListParagraph"/>
        <w:ind w:left="1134" w:right="288" w:hanging="425"/>
        <w:jc w:val="both"/>
        <w:rPr>
          <w:rFonts w:ascii="Arial" w:hAnsi="Arial" w:cs="Arial"/>
          <w:i/>
          <w:szCs w:val="24"/>
          <w:lang w:val="en-CA"/>
        </w:rPr>
      </w:pPr>
      <w:r w:rsidRPr="0019776A">
        <w:rPr>
          <w:rFonts w:ascii="Arial" w:hAnsi="Arial" w:cs="Arial"/>
          <w:i/>
          <w:szCs w:val="24"/>
          <w:lang w:val="en-CA"/>
        </w:rPr>
        <w:t xml:space="preserve">4 (1) If damage or loss has been caused by the fault of 2 or more persons, the court must determine the degree to which each person was at fault. </w:t>
      </w:r>
    </w:p>
    <w:p w14:paraId="145F6EA5" w14:textId="77777777" w:rsidR="00485E20" w:rsidRPr="0019776A" w:rsidRDefault="00485E20" w:rsidP="00485E20">
      <w:pPr>
        <w:pStyle w:val="ListParagraph"/>
        <w:ind w:left="1134" w:right="288"/>
        <w:jc w:val="both"/>
        <w:rPr>
          <w:rFonts w:ascii="Arial" w:hAnsi="Arial" w:cs="Arial"/>
          <w:i/>
          <w:szCs w:val="24"/>
          <w:lang w:val="en-CA"/>
        </w:rPr>
      </w:pPr>
      <w:r w:rsidRPr="0019776A">
        <w:rPr>
          <w:rFonts w:ascii="Arial" w:hAnsi="Arial" w:cs="Arial"/>
          <w:i/>
          <w:szCs w:val="24"/>
          <w:lang w:val="en-CA"/>
        </w:rPr>
        <w:t xml:space="preserve">(2) Except as provided in section 5 if 2 or more persons are found at fault (a) they are jointly and severally liable to the person suffering the damage or loss, and (b) as between themselves, in the absence of a contract express or implied, they are liable to contribute to and indemnify each other in the degree to which they are respectively found to have been at fault. </w:t>
      </w:r>
    </w:p>
    <w:p w14:paraId="2C24776D" w14:textId="77777777" w:rsidR="00485E20" w:rsidRPr="0019776A" w:rsidRDefault="00485E20" w:rsidP="00485E20">
      <w:pPr>
        <w:pStyle w:val="ListParagraph"/>
        <w:ind w:left="360"/>
        <w:jc w:val="both"/>
        <w:rPr>
          <w:rFonts w:ascii="Arial" w:hAnsi="Arial" w:cs="Arial"/>
          <w:sz w:val="24"/>
          <w:szCs w:val="24"/>
          <w:lang w:val="en-CA"/>
        </w:rPr>
      </w:pPr>
    </w:p>
    <w:p w14:paraId="0E92A638" w14:textId="4890284F" w:rsidR="00C44C5E" w:rsidRDefault="00485E20" w:rsidP="00C44C5E">
      <w:pPr>
        <w:pStyle w:val="ListParagraph"/>
        <w:numPr>
          <w:ilvl w:val="0"/>
          <w:numId w:val="19"/>
        </w:numPr>
        <w:spacing w:line="276" w:lineRule="auto"/>
        <w:jc w:val="both"/>
        <w:rPr>
          <w:rFonts w:ascii="Arial" w:hAnsi="Arial" w:cs="Arial"/>
          <w:sz w:val="24"/>
          <w:szCs w:val="24"/>
          <w:lang w:val="en-CA"/>
        </w:rPr>
      </w:pPr>
      <w:r w:rsidRPr="0019776A">
        <w:rPr>
          <w:rFonts w:ascii="Arial" w:hAnsi="Arial" w:cs="Arial"/>
          <w:sz w:val="24"/>
          <w:szCs w:val="24"/>
          <w:lang w:val="en-CA"/>
        </w:rPr>
        <w:t>The effect of these sections was explained by the BC</w:t>
      </w:r>
      <w:r w:rsidR="002775BC">
        <w:rPr>
          <w:rFonts w:ascii="Arial" w:hAnsi="Arial" w:cs="Arial"/>
          <w:sz w:val="24"/>
          <w:szCs w:val="24"/>
          <w:lang w:val="en-CA"/>
        </w:rPr>
        <w:t xml:space="preserve"> </w:t>
      </w:r>
      <w:r w:rsidRPr="0019776A">
        <w:rPr>
          <w:rFonts w:ascii="Arial" w:hAnsi="Arial" w:cs="Arial"/>
          <w:sz w:val="24"/>
          <w:szCs w:val="24"/>
          <w:lang w:val="en-CA"/>
        </w:rPr>
        <w:t xml:space="preserve">Court of Appeal in </w:t>
      </w:r>
      <w:r w:rsidRPr="0019776A">
        <w:rPr>
          <w:rFonts w:ascii="Arial" w:hAnsi="Arial" w:cs="Arial"/>
          <w:i/>
          <w:sz w:val="24"/>
          <w:szCs w:val="24"/>
          <w:lang w:val="en-CA"/>
        </w:rPr>
        <w:t>Leischner et al v. West Kootenay Power and Light Company, et al</w:t>
      </w:r>
      <w:r w:rsidRPr="0019776A">
        <w:rPr>
          <w:rFonts w:ascii="Arial" w:hAnsi="Arial" w:cs="Arial"/>
          <w:sz w:val="24"/>
          <w:szCs w:val="24"/>
          <w:lang w:val="en-CA"/>
        </w:rPr>
        <w:t xml:space="preserve">. (1986), </w:t>
      </w:r>
      <w:hyperlink r:id="rId53" w:history="1">
        <w:r w:rsidRPr="0019776A">
          <w:rPr>
            <w:rStyle w:val="Hyperlink"/>
            <w:rFonts w:ascii="Arial" w:hAnsi="Arial" w:cs="Arial"/>
            <w:sz w:val="24"/>
            <w:szCs w:val="24"/>
            <w:u w:val="none"/>
            <w:lang w:val="en-CA"/>
          </w:rPr>
          <w:t>70 B.C.L.R. 145</w:t>
        </w:r>
      </w:hyperlink>
      <w:r w:rsidRPr="0019776A">
        <w:rPr>
          <w:rFonts w:ascii="Arial" w:hAnsi="Arial" w:cs="Arial"/>
          <w:sz w:val="24"/>
          <w:szCs w:val="24"/>
          <w:lang w:val="en-CA"/>
        </w:rPr>
        <w:t xml:space="preserve">, as follows:  </w:t>
      </w:r>
    </w:p>
    <w:p w14:paraId="6B98AB5E" w14:textId="3666B02F" w:rsidR="00C15EAD" w:rsidRDefault="00C44C5E" w:rsidP="00C15EAD">
      <w:pPr>
        <w:pStyle w:val="ListParagraph"/>
        <w:numPr>
          <w:ilvl w:val="0"/>
          <w:numId w:val="40"/>
        </w:numPr>
        <w:rPr>
          <w:rFonts w:ascii="Arial" w:hAnsi="Arial" w:cs="Arial"/>
          <w:sz w:val="24"/>
          <w:szCs w:val="24"/>
          <w:lang w:val="en-CA"/>
        </w:rPr>
      </w:pPr>
      <w:r w:rsidRPr="00C44C5E">
        <w:rPr>
          <w:rFonts w:ascii="Arial" w:hAnsi="Arial" w:cs="Arial"/>
          <w:sz w:val="24"/>
          <w:szCs w:val="24"/>
          <w:lang w:val="en-CA"/>
        </w:rPr>
        <w:t>“Sections 1 and 4 apply to different situations; s. 4 applies to cases where two or more persons cause damage to the plaintiff; s. 1 applies where the plaintiff himself is one of the persons found to have caused his damage or loss; s. 2(c) provides that in a s. 1 case the plaintiff shall recover from a defendant only the proportion of the loss that corresponds to that defendant's fault… then by ss.1 and 2(c) he obtains several judgments against the defendants liable for his loss.”</w:t>
      </w:r>
    </w:p>
    <w:p w14:paraId="392E6512" w14:textId="77777777" w:rsidR="00C15EAD" w:rsidRPr="00C90492" w:rsidRDefault="00C15EAD" w:rsidP="00C15EAD">
      <w:pPr>
        <w:pStyle w:val="ListParagraph"/>
        <w:ind w:left="1080"/>
        <w:rPr>
          <w:rFonts w:ascii="Arial" w:hAnsi="Arial" w:cs="Arial"/>
          <w:sz w:val="24"/>
          <w:szCs w:val="24"/>
          <w:lang w:val="en-CA"/>
        </w:rPr>
      </w:pPr>
    </w:p>
    <w:p w14:paraId="66AF3927" w14:textId="10E9577F" w:rsidR="00C15EAD" w:rsidRPr="00C90492" w:rsidRDefault="00C15EAD" w:rsidP="00C15EAD">
      <w:pPr>
        <w:pStyle w:val="ListParagraph"/>
        <w:numPr>
          <w:ilvl w:val="0"/>
          <w:numId w:val="6"/>
        </w:numPr>
        <w:rPr>
          <w:rFonts w:ascii="Arial" w:hAnsi="Arial" w:cs="Arial"/>
          <w:sz w:val="24"/>
          <w:szCs w:val="24"/>
          <w:lang w:val="en-CA"/>
        </w:rPr>
      </w:pPr>
      <w:r w:rsidRPr="00C90492">
        <w:rPr>
          <w:rFonts w:ascii="Arial" w:hAnsi="Arial" w:cs="Arial"/>
          <w:sz w:val="24"/>
          <w:szCs w:val="24"/>
          <w:lang w:val="en-CA"/>
        </w:rPr>
        <w:t xml:space="preserve">The court in </w:t>
      </w:r>
      <w:r w:rsidRPr="00C90492">
        <w:rPr>
          <w:rFonts w:ascii="Arial" w:hAnsi="Arial" w:cs="Arial"/>
          <w:i/>
          <w:iCs/>
          <w:sz w:val="24"/>
          <w:szCs w:val="24"/>
          <w:lang w:val="en-CA"/>
        </w:rPr>
        <w:t>Cempel v. Harrison Hot Springs Hotel Ltd</w:t>
      </w:r>
      <w:r w:rsidRPr="00C90492">
        <w:rPr>
          <w:rFonts w:ascii="Arial" w:hAnsi="Arial" w:cs="Arial"/>
          <w:sz w:val="24"/>
          <w:szCs w:val="24"/>
          <w:lang w:val="en-CA"/>
        </w:rPr>
        <w:t>., 1997 CanLII 2374 (BC CA) further clarifies apportionment of liability as follows:</w:t>
      </w:r>
    </w:p>
    <w:p w14:paraId="1FD5229B" w14:textId="77777777" w:rsidR="00C15EAD" w:rsidRPr="00C90492" w:rsidRDefault="00C15EAD" w:rsidP="00C15EAD">
      <w:pPr>
        <w:pStyle w:val="ListParagraph"/>
        <w:ind w:left="360"/>
        <w:rPr>
          <w:rFonts w:ascii="Arial" w:hAnsi="Arial" w:cs="Arial"/>
          <w:sz w:val="24"/>
          <w:szCs w:val="24"/>
          <w:lang w:val="en-CA"/>
        </w:rPr>
      </w:pPr>
    </w:p>
    <w:p w14:paraId="07D9C204" w14:textId="7D7AE0CD" w:rsidR="00C15EAD" w:rsidRPr="00C90492" w:rsidRDefault="00C15EAD" w:rsidP="00C15EAD">
      <w:pPr>
        <w:pStyle w:val="ListParagraph"/>
        <w:numPr>
          <w:ilvl w:val="0"/>
          <w:numId w:val="40"/>
        </w:numPr>
        <w:rPr>
          <w:rFonts w:ascii="Arial" w:hAnsi="Arial" w:cs="Arial"/>
          <w:sz w:val="24"/>
          <w:szCs w:val="24"/>
          <w:lang w:val="en-CA"/>
        </w:rPr>
      </w:pPr>
      <w:r w:rsidRPr="00C90492">
        <w:rPr>
          <w:rFonts w:ascii="Arial" w:hAnsi="Arial" w:cs="Arial"/>
          <w:sz w:val="24"/>
          <w:szCs w:val="24"/>
          <w:lang w:val="en-CA"/>
        </w:rPr>
        <w:t xml:space="preserve">“ </w:t>
      </w:r>
      <w:r w:rsidRPr="00C90492">
        <w:rPr>
          <w:rFonts w:ascii="Arial" w:hAnsi="Arial" w:cs="Arial"/>
          <w:i/>
          <w:iCs/>
          <w:sz w:val="24"/>
          <w:szCs w:val="24"/>
          <w:lang w:val="en-CA"/>
        </w:rPr>
        <w:t>The Negligence Act requires that the apportionment must be made on the basis of "</w:t>
      </w:r>
      <w:r w:rsidRPr="00C90492">
        <w:rPr>
          <w:rFonts w:ascii="Arial" w:hAnsi="Arial" w:cs="Arial"/>
          <w:i/>
          <w:iCs/>
          <w:sz w:val="24"/>
          <w:szCs w:val="24"/>
          <w:u w:val="single"/>
          <w:lang w:val="en-CA"/>
        </w:rPr>
        <w:t>the degree</w:t>
      </w:r>
      <w:r w:rsidRPr="00C90492">
        <w:rPr>
          <w:rFonts w:ascii="Arial" w:hAnsi="Arial" w:cs="Arial"/>
          <w:i/>
          <w:iCs/>
          <w:sz w:val="24"/>
          <w:szCs w:val="24"/>
          <w:lang w:val="en-CA"/>
        </w:rPr>
        <w:t xml:space="preserve"> to which each person was </w:t>
      </w:r>
      <w:r w:rsidRPr="00C90492">
        <w:rPr>
          <w:rFonts w:ascii="Arial" w:hAnsi="Arial" w:cs="Arial"/>
          <w:i/>
          <w:iCs/>
          <w:sz w:val="24"/>
          <w:szCs w:val="24"/>
          <w:u w:val="single"/>
          <w:lang w:val="en-CA"/>
        </w:rPr>
        <w:t>at fault</w:t>
      </w:r>
      <w:r w:rsidRPr="00C90492">
        <w:rPr>
          <w:rFonts w:ascii="Arial" w:hAnsi="Arial" w:cs="Arial"/>
          <w:i/>
          <w:iCs/>
          <w:sz w:val="24"/>
          <w:szCs w:val="24"/>
          <w:lang w:val="en-CA"/>
        </w:rPr>
        <w:t xml:space="preserve">". It does not say that the apportionment should be on the basis of the degree to which each person's fault </w:t>
      </w:r>
      <w:r w:rsidRPr="00C90492">
        <w:rPr>
          <w:rFonts w:ascii="Arial" w:hAnsi="Arial" w:cs="Arial"/>
          <w:i/>
          <w:iCs/>
          <w:sz w:val="24"/>
          <w:szCs w:val="24"/>
          <w:u w:val="single"/>
          <w:lang w:val="en-CA"/>
        </w:rPr>
        <w:t>caused</w:t>
      </w:r>
      <w:r w:rsidRPr="00C90492">
        <w:rPr>
          <w:rFonts w:ascii="Arial" w:hAnsi="Arial" w:cs="Arial"/>
          <w:i/>
          <w:iCs/>
          <w:sz w:val="24"/>
          <w:szCs w:val="24"/>
          <w:lang w:val="en-CA"/>
        </w:rPr>
        <w:t xml:space="preserve"> the damage. So we are not assessing degrees of causation, we are assessing degrees of fault.  In this context, "fault" means blameworthiness. </w:t>
      </w:r>
      <w:proofErr w:type="gramStart"/>
      <w:r w:rsidRPr="00C90492">
        <w:rPr>
          <w:rFonts w:ascii="Arial" w:hAnsi="Arial" w:cs="Arial"/>
          <w:i/>
          <w:iCs/>
          <w:sz w:val="24"/>
          <w:szCs w:val="24"/>
          <w:lang w:val="en-CA"/>
        </w:rPr>
        <w:t>So</w:t>
      </w:r>
      <w:proofErr w:type="gramEnd"/>
      <w:r w:rsidRPr="00C90492">
        <w:rPr>
          <w:rFonts w:ascii="Arial" w:hAnsi="Arial" w:cs="Arial"/>
          <w:i/>
          <w:iCs/>
          <w:sz w:val="24"/>
          <w:szCs w:val="24"/>
          <w:lang w:val="en-CA"/>
        </w:rPr>
        <w:t xml:space="preserve"> it is a gauge of the amount by which each proximate and effective causative agent fell short of the standard of care that was required of that person in all the circumstances</w:t>
      </w:r>
      <w:r w:rsidRPr="00C90492">
        <w:rPr>
          <w:rFonts w:ascii="Arial" w:hAnsi="Arial" w:cs="Arial"/>
          <w:sz w:val="24"/>
          <w:szCs w:val="24"/>
          <w:lang w:val="en-CA"/>
        </w:rPr>
        <w:t>.”</w:t>
      </w:r>
    </w:p>
    <w:p w14:paraId="40DD9485" w14:textId="77777777" w:rsidR="00C15EAD" w:rsidRDefault="00C15EAD" w:rsidP="00C15EAD">
      <w:pPr>
        <w:rPr>
          <w:rFonts w:ascii="Arial" w:hAnsi="Arial" w:cs="Arial"/>
          <w:sz w:val="24"/>
          <w:szCs w:val="24"/>
          <w:lang w:val="en-CA"/>
        </w:rPr>
      </w:pPr>
    </w:p>
    <w:p w14:paraId="184E4AB2" w14:textId="77777777" w:rsidR="009E36C5" w:rsidRPr="0041275A" w:rsidRDefault="009E36C5" w:rsidP="0041275A">
      <w:pPr>
        <w:pStyle w:val="ListParagraph"/>
        <w:ind w:left="360"/>
        <w:rPr>
          <w:rFonts w:ascii="Arial" w:hAnsi="Arial" w:cs="Arial"/>
          <w:sz w:val="24"/>
          <w:szCs w:val="24"/>
          <w:lang w:val="en-CA"/>
        </w:rPr>
      </w:pPr>
    </w:p>
    <w:p w14:paraId="34705B15" w14:textId="77777777" w:rsidR="00485E20" w:rsidRPr="0019776A" w:rsidRDefault="00485E20" w:rsidP="00EF10C2">
      <w:pPr>
        <w:pStyle w:val="ListParagraph"/>
        <w:numPr>
          <w:ilvl w:val="0"/>
          <w:numId w:val="18"/>
        </w:numPr>
        <w:spacing w:line="276" w:lineRule="auto"/>
        <w:jc w:val="both"/>
        <w:rPr>
          <w:rFonts w:ascii="Arial" w:hAnsi="Arial" w:cs="Arial"/>
          <w:sz w:val="24"/>
          <w:szCs w:val="24"/>
          <w:lang w:val="en-CA"/>
        </w:rPr>
      </w:pPr>
      <w:r w:rsidRPr="0019776A">
        <w:rPr>
          <w:rFonts w:ascii="Arial" w:hAnsi="Arial" w:cs="Arial"/>
          <w:sz w:val="24"/>
          <w:szCs w:val="24"/>
          <w:lang w:val="en-CA"/>
        </w:rPr>
        <w:t>Where the plaintiff’s own negligence contributes to their injury, their right to full recovery may be proportionately affected.  For example, if the plaintiff is found to be 20% contributorily negligent then he/she would only be paid 80% of the value of their claim.</w:t>
      </w:r>
    </w:p>
    <w:p w14:paraId="556316EF" w14:textId="77777777" w:rsidR="00485E20" w:rsidRPr="0019776A" w:rsidRDefault="00485E20" w:rsidP="00485E20">
      <w:pPr>
        <w:pStyle w:val="ListParagraph"/>
        <w:jc w:val="both"/>
        <w:rPr>
          <w:rFonts w:ascii="Arial" w:hAnsi="Arial" w:cs="Arial"/>
          <w:sz w:val="24"/>
          <w:szCs w:val="24"/>
          <w:lang w:val="en-CA"/>
        </w:rPr>
      </w:pPr>
    </w:p>
    <w:p w14:paraId="5573B4A7" w14:textId="77777777" w:rsidR="00485E20" w:rsidRPr="0019776A" w:rsidRDefault="00485E20" w:rsidP="00EF10C2">
      <w:pPr>
        <w:pStyle w:val="ListParagraph"/>
        <w:numPr>
          <w:ilvl w:val="0"/>
          <w:numId w:val="18"/>
        </w:numPr>
        <w:spacing w:line="276" w:lineRule="auto"/>
        <w:jc w:val="both"/>
        <w:rPr>
          <w:rFonts w:ascii="Arial" w:hAnsi="Arial" w:cs="Arial"/>
          <w:sz w:val="24"/>
          <w:szCs w:val="24"/>
          <w:lang w:val="en-CA"/>
        </w:rPr>
      </w:pPr>
      <w:r w:rsidRPr="0019776A">
        <w:rPr>
          <w:rFonts w:ascii="Arial" w:hAnsi="Arial" w:cs="Arial"/>
          <w:sz w:val="24"/>
          <w:szCs w:val="24"/>
          <w:lang w:val="en-CA"/>
        </w:rPr>
        <w:t>The defendant has the onus of proving contributory negligence and must show: (1) there has been some breach by the plaintiff (and error or omission); and (2) that this breach caused or contributed to the plaintiff’s loss.  For example, a plaintiff could be negligent for riding a bicycle without a helmet but there would be no deduction for contributory negligence if they suffered an injury</w:t>
      </w:r>
    </w:p>
    <w:p w14:paraId="52E63EBD" w14:textId="77777777" w:rsidR="00485E20" w:rsidRPr="0019776A" w:rsidRDefault="00485E20" w:rsidP="00485E20">
      <w:pPr>
        <w:pStyle w:val="ListParagraph"/>
        <w:jc w:val="both"/>
        <w:rPr>
          <w:rFonts w:ascii="Arial" w:hAnsi="Arial" w:cs="Arial"/>
          <w:sz w:val="24"/>
          <w:szCs w:val="24"/>
          <w:lang w:val="en-CA"/>
        </w:rPr>
      </w:pPr>
    </w:p>
    <w:p w14:paraId="6601AADB" w14:textId="77777777" w:rsidR="00485E20" w:rsidRPr="0019776A" w:rsidRDefault="00485E20" w:rsidP="00EF10C2">
      <w:pPr>
        <w:pStyle w:val="ListParagraph"/>
        <w:numPr>
          <w:ilvl w:val="0"/>
          <w:numId w:val="18"/>
        </w:numPr>
        <w:spacing w:line="276" w:lineRule="auto"/>
        <w:jc w:val="both"/>
        <w:rPr>
          <w:rFonts w:ascii="Arial" w:hAnsi="Arial" w:cs="Arial"/>
          <w:sz w:val="24"/>
          <w:szCs w:val="24"/>
          <w:lang w:val="en-CA"/>
        </w:rPr>
      </w:pPr>
      <w:r w:rsidRPr="0019776A">
        <w:rPr>
          <w:rFonts w:ascii="Arial" w:hAnsi="Arial" w:cs="Arial"/>
          <w:sz w:val="24"/>
          <w:szCs w:val="24"/>
          <w:lang w:val="en-CA"/>
        </w:rPr>
        <w:t>Contributory negligence is a partial defence (as opposed to “voluntary assumption of risk” or “criminal act” which are complete defences).  Proving contributory negligence against a plaintiff is much like establishing negligence against a defendant.</w:t>
      </w:r>
    </w:p>
    <w:p w14:paraId="6904775C" w14:textId="77777777" w:rsidR="00485E20" w:rsidRPr="0019776A" w:rsidRDefault="00485E20" w:rsidP="00485E20">
      <w:pPr>
        <w:pStyle w:val="ListParagraph"/>
        <w:rPr>
          <w:rFonts w:ascii="Arial" w:hAnsi="Arial" w:cs="Arial"/>
          <w:sz w:val="24"/>
          <w:szCs w:val="24"/>
          <w:lang w:val="en-CA"/>
        </w:rPr>
      </w:pPr>
    </w:p>
    <w:p w14:paraId="6B640286" w14:textId="0D7070FA" w:rsidR="00485E20" w:rsidRPr="0019776A" w:rsidRDefault="00485E20" w:rsidP="00EF10C2">
      <w:pPr>
        <w:pStyle w:val="ListParagraph"/>
        <w:numPr>
          <w:ilvl w:val="0"/>
          <w:numId w:val="18"/>
        </w:numPr>
        <w:spacing w:line="276" w:lineRule="auto"/>
        <w:jc w:val="both"/>
        <w:rPr>
          <w:rFonts w:ascii="Arial" w:hAnsi="Arial" w:cs="Arial"/>
          <w:sz w:val="24"/>
          <w:szCs w:val="24"/>
          <w:lang w:val="en-CA"/>
        </w:rPr>
      </w:pPr>
      <w:r w:rsidRPr="0019776A">
        <w:rPr>
          <w:rFonts w:ascii="Arial" w:hAnsi="Arial" w:cs="Arial"/>
          <w:sz w:val="24"/>
          <w:szCs w:val="24"/>
          <w:lang w:val="en-CA"/>
        </w:rPr>
        <w:t xml:space="preserve">Marzari, J. engaged in an analysis of the defence of contributory negligence </w:t>
      </w:r>
      <w:r w:rsidRPr="00A83495">
        <w:rPr>
          <w:rFonts w:ascii="Arial" w:hAnsi="Arial" w:cs="Arial"/>
          <w:b/>
          <w:sz w:val="24"/>
          <w:szCs w:val="24"/>
          <w:lang w:val="en-CA"/>
        </w:rPr>
        <w:t xml:space="preserve">in </w:t>
      </w:r>
      <w:r w:rsidRPr="00A83495">
        <w:rPr>
          <w:rFonts w:ascii="Arial" w:hAnsi="Arial" w:cs="Arial"/>
          <w:b/>
          <w:i/>
          <w:sz w:val="24"/>
          <w:szCs w:val="24"/>
          <w:lang w:val="en-CA"/>
        </w:rPr>
        <w:t>Uy v. Dhillon</w:t>
      </w:r>
      <w:r w:rsidRPr="0019776A">
        <w:rPr>
          <w:rFonts w:ascii="Arial" w:hAnsi="Arial" w:cs="Arial"/>
          <w:i/>
          <w:sz w:val="24"/>
          <w:szCs w:val="24"/>
          <w:lang w:val="en-CA"/>
        </w:rPr>
        <w:t xml:space="preserve">, </w:t>
      </w:r>
      <w:hyperlink r:id="rId54" w:history="1">
        <w:r w:rsidR="0064140D" w:rsidRPr="00673A5F">
          <w:rPr>
            <w:rStyle w:val="Hyperlink"/>
            <w:rFonts w:ascii="Arial" w:hAnsi="Arial" w:cs="Arial"/>
            <w:b/>
            <w:sz w:val="24"/>
            <w:szCs w:val="24"/>
            <w:u w:val="none"/>
            <w:lang w:val="en-CA"/>
          </w:rPr>
          <w:t>2019 BCSC 1136</w:t>
        </w:r>
      </w:hyperlink>
      <w:r w:rsidR="0064140D" w:rsidRPr="00673A5F">
        <w:rPr>
          <w:rStyle w:val="Hyperlink"/>
          <w:rFonts w:ascii="Arial" w:hAnsi="Arial" w:cs="Arial"/>
          <w:b/>
          <w:sz w:val="24"/>
          <w:szCs w:val="24"/>
          <w:u w:val="none"/>
          <w:lang w:val="en-CA"/>
        </w:rPr>
        <w:t xml:space="preserve">, </w:t>
      </w:r>
      <w:r w:rsidR="0064140D" w:rsidRPr="00673A5F">
        <w:rPr>
          <w:rStyle w:val="Hyperlink"/>
          <w:rFonts w:ascii="Arial" w:hAnsi="Arial" w:cs="Arial"/>
          <w:b/>
          <w:color w:val="auto"/>
          <w:sz w:val="24"/>
          <w:szCs w:val="24"/>
          <w:u w:val="none"/>
          <w:lang w:val="en-CA"/>
        </w:rPr>
        <w:t>aff’</w:t>
      </w:r>
      <w:r w:rsidR="0064140D">
        <w:rPr>
          <w:rStyle w:val="Hyperlink"/>
          <w:rFonts w:ascii="Arial" w:hAnsi="Arial" w:cs="Arial"/>
          <w:b/>
          <w:color w:val="auto"/>
          <w:sz w:val="24"/>
          <w:szCs w:val="24"/>
          <w:u w:val="none"/>
          <w:lang w:val="en-CA"/>
        </w:rPr>
        <w:t>d</w:t>
      </w:r>
      <w:hyperlink r:id="rId55" w:history="1">
        <w:r w:rsidR="0064140D" w:rsidRPr="00673A5F">
          <w:rPr>
            <w:rStyle w:val="Hyperlink"/>
            <w:rFonts w:ascii="Arial" w:hAnsi="Arial" w:cs="Arial"/>
            <w:sz w:val="24"/>
            <w:szCs w:val="24"/>
            <w:u w:val="none"/>
            <w:lang w:val="en-CA"/>
          </w:rPr>
          <w:t xml:space="preserve"> </w:t>
        </w:r>
        <w:r w:rsidR="0064140D" w:rsidRPr="00673A5F">
          <w:rPr>
            <w:rStyle w:val="Hyperlink"/>
            <w:rFonts w:ascii="Arial" w:hAnsi="Arial" w:cs="Arial"/>
            <w:b/>
            <w:sz w:val="24"/>
            <w:szCs w:val="24"/>
            <w:u w:val="none"/>
            <w:lang w:val="en-CA"/>
          </w:rPr>
          <w:t>2020 BCCA 163</w:t>
        </w:r>
      </w:hyperlink>
      <w:r w:rsidRPr="0019776A">
        <w:rPr>
          <w:rFonts w:ascii="Arial" w:hAnsi="Arial" w:cs="Arial"/>
          <w:sz w:val="24"/>
          <w:szCs w:val="24"/>
          <w:lang w:val="en-CA"/>
        </w:rPr>
        <w:t xml:space="preserve"> at paras. 178-187: </w:t>
      </w:r>
    </w:p>
    <w:p w14:paraId="76C1C36A" w14:textId="77777777" w:rsidR="00485E20" w:rsidRPr="0019776A" w:rsidRDefault="00485E20" w:rsidP="00485E20">
      <w:pPr>
        <w:pStyle w:val="ListParagraph"/>
        <w:rPr>
          <w:rFonts w:ascii="Arial" w:hAnsi="Arial" w:cs="Arial"/>
          <w:sz w:val="20"/>
          <w:szCs w:val="24"/>
          <w:lang w:val="en-CA"/>
        </w:rPr>
      </w:pPr>
    </w:p>
    <w:p w14:paraId="0272B9B7" w14:textId="77777777"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19776A">
        <w:rPr>
          <w:rFonts w:ascii="Arial" w:hAnsi="Arial" w:cs="Arial"/>
          <w:i/>
          <w:color w:val="000000"/>
          <w:sz w:val="22"/>
          <w:szCs w:val="22"/>
          <w:lang w:val="en-CA"/>
        </w:rPr>
        <w:t>[</w:t>
      </w:r>
      <w:bookmarkStart w:id="0" w:name="par178"/>
      <w:r w:rsidRPr="0019776A">
        <w:rPr>
          <w:rFonts w:ascii="Arial" w:hAnsi="Arial" w:cs="Arial"/>
          <w:i/>
          <w:color w:val="000000"/>
          <w:sz w:val="22"/>
          <w:szCs w:val="22"/>
          <w:lang w:val="en-CA"/>
        </w:rPr>
        <w:t>178</w:t>
      </w:r>
      <w:bookmarkEnd w:id="0"/>
      <w:r w:rsidRPr="0019776A">
        <w:rPr>
          <w:rFonts w:ascii="Arial" w:hAnsi="Arial" w:cs="Arial"/>
          <w:i/>
          <w:color w:val="000000"/>
          <w:sz w:val="22"/>
          <w:szCs w:val="22"/>
          <w:lang w:val="en-CA"/>
        </w:rPr>
        <w:t>]     As I discussed above, there is a presumption or onus in rear</w:t>
      </w:r>
      <w:r w:rsidRPr="0019776A">
        <w:rPr>
          <w:rFonts w:ascii="Arial" w:hAnsi="Arial" w:cs="Arial"/>
          <w:i/>
          <w:color w:val="000000"/>
          <w:sz w:val="22"/>
          <w:szCs w:val="22"/>
          <w:lang w:val="en-CA"/>
        </w:rPr>
        <w:noBreakHyphen/>
        <w:t>end collisions that the following driver is at fault for failing to keep a safe distance for the conditions. In the ordinary case these are conditions that involve one vehicle following another and failing to stop in time when the lead car stops unexpectedly.</w:t>
      </w:r>
    </w:p>
    <w:p w14:paraId="064B4CDE" w14:textId="77777777"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19776A">
        <w:rPr>
          <w:rFonts w:ascii="Arial" w:hAnsi="Arial" w:cs="Arial"/>
          <w:i/>
          <w:color w:val="000000"/>
          <w:sz w:val="22"/>
          <w:szCs w:val="22"/>
          <w:lang w:val="en-CA"/>
        </w:rPr>
        <w:t>[</w:t>
      </w:r>
      <w:bookmarkStart w:id="1" w:name="par179"/>
      <w:r w:rsidRPr="0019776A">
        <w:rPr>
          <w:rFonts w:ascii="Arial" w:hAnsi="Arial" w:cs="Arial"/>
          <w:i/>
          <w:color w:val="000000"/>
          <w:sz w:val="22"/>
          <w:szCs w:val="22"/>
          <w:lang w:val="en-CA"/>
        </w:rPr>
        <w:t>179</w:t>
      </w:r>
      <w:bookmarkEnd w:id="1"/>
      <w:r w:rsidRPr="0019776A">
        <w:rPr>
          <w:rFonts w:ascii="Arial" w:hAnsi="Arial" w:cs="Arial"/>
          <w:i/>
          <w:color w:val="000000"/>
          <w:sz w:val="22"/>
          <w:szCs w:val="22"/>
          <w:lang w:val="en-CA"/>
        </w:rPr>
        <w:t>]     This is not that typical case. Both vehicles were moving at speed, and I have found that the accident was caused by Mr. Dhillon moving into Mr. Uy's lane of travel suddenly and unexpectedly, rather than unexpectedly stopping in front of him. Mr. Uy was anticipating passing Mr. Dhillon to his left in the moments prior to the collision, and there is no reasonable basis to suggest that he should have been keeping a safe distance from the rear of Mr. Dhillon's trailer while he was in a different path of travel.</w:t>
      </w:r>
    </w:p>
    <w:p w14:paraId="11D09AA6" w14:textId="77777777"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19776A">
        <w:rPr>
          <w:rFonts w:ascii="Arial" w:hAnsi="Arial" w:cs="Arial"/>
          <w:i/>
          <w:color w:val="000000"/>
          <w:sz w:val="22"/>
          <w:szCs w:val="22"/>
          <w:lang w:val="en-CA"/>
        </w:rPr>
        <w:t>[</w:t>
      </w:r>
      <w:bookmarkStart w:id="2" w:name="par180"/>
      <w:r w:rsidRPr="0019776A">
        <w:rPr>
          <w:rFonts w:ascii="Arial" w:hAnsi="Arial" w:cs="Arial"/>
          <w:i/>
          <w:color w:val="000000"/>
          <w:sz w:val="22"/>
          <w:szCs w:val="22"/>
          <w:lang w:val="en-CA"/>
        </w:rPr>
        <w:t>180</w:t>
      </w:r>
      <w:bookmarkEnd w:id="2"/>
      <w:r w:rsidRPr="0019776A">
        <w:rPr>
          <w:rFonts w:ascii="Arial" w:hAnsi="Arial" w:cs="Arial"/>
          <w:i/>
          <w:color w:val="000000"/>
          <w:sz w:val="22"/>
          <w:szCs w:val="22"/>
          <w:lang w:val="en-CA"/>
        </w:rPr>
        <w:t>]     Given these circumstances, I find that the defendants are not able to rely on the presumption of liability in rear</w:t>
      </w:r>
      <w:r w:rsidRPr="0019776A">
        <w:rPr>
          <w:rFonts w:ascii="Arial" w:hAnsi="Arial" w:cs="Arial"/>
          <w:i/>
          <w:color w:val="000000"/>
          <w:sz w:val="22"/>
          <w:szCs w:val="22"/>
          <w:lang w:val="en-CA"/>
        </w:rPr>
        <w:noBreakHyphen/>
        <w:t>end collisions, or putting it another way I find that the presumption in those cases has been rebutted on the proven facts.</w:t>
      </w:r>
    </w:p>
    <w:p w14:paraId="0AC98D0B" w14:textId="77777777"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19776A">
        <w:rPr>
          <w:rFonts w:ascii="Arial" w:hAnsi="Arial" w:cs="Arial"/>
          <w:i/>
          <w:color w:val="000000"/>
          <w:sz w:val="22"/>
          <w:szCs w:val="22"/>
          <w:lang w:val="en-CA"/>
        </w:rPr>
        <w:t>[</w:t>
      </w:r>
      <w:bookmarkStart w:id="3" w:name="par181"/>
      <w:r w:rsidRPr="0019776A">
        <w:rPr>
          <w:rFonts w:ascii="Arial" w:hAnsi="Arial" w:cs="Arial"/>
          <w:i/>
          <w:color w:val="000000"/>
          <w:sz w:val="22"/>
          <w:szCs w:val="22"/>
          <w:lang w:val="en-CA"/>
        </w:rPr>
        <w:t>181</w:t>
      </w:r>
      <w:bookmarkEnd w:id="3"/>
      <w:r w:rsidRPr="0019776A">
        <w:rPr>
          <w:rFonts w:ascii="Arial" w:hAnsi="Arial" w:cs="Arial"/>
          <w:i/>
          <w:color w:val="000000"/>
          <w:sz w:val="22"/>
          <w:szCs w:val="22"/>
          <w:lang w:val="en-CA"/>
        </w:rPr>
        <w:t>]     The defendants have led no other evidence of inattentiveness or carelessness on Mr. Uy's part. Rather they say I should find that Mr. Uy's speed of 70 to 80 kilometres an hour is objectively unreasonable in these circumstances and that had he been driving more slowly, he could have avoided the collision.</w:t>
      </w:r>
    </w:p>
    <w:p w14:paraId="713492CE" w14:textId="04ED8A52" w:rsidR="00485E20" w:rsidRPr="005E11B9" w:rsidRDefault="00485E20" w:rsidP="00485E20">
      <w:pPr>
        <w:pStyle w:val="scjnumber"/>
        <w:shd w:val="clear" w:color="auto" w:fill="FFFFFF"/>
        <w:tabs>
          <w:tab w:val="left" w:pos="360"/>
        </w:tabs>
        <w:spacing w:before="0" w:beforeAutospacing="0" w:after="120" w:afterAutospacing="0"/>
        <w:ind w:left="720" w:right="720"/>
        <w:jc w:val="both"/>
        <w:rPr>
          <w:rFonts w:ascii="Arial" w:hAnsi="Arial" w:cs="Arial"/>
          <w:i/>
          <w:sz w:val="22"/>
          <w:szCs w:val="22"/>
          <w:lang w:val="en-CA"/>
        </w:rPr>
      </w:pPr>
      <w:r w:rsidRPr="0019776A">
        <w:rPr>
          <w:rFonts w:ascii="Arial" w:hAnsi="Arial" w:cs="Arial"/>
          <w:i/>
          <w:color w:val="000000"/>
          <w:sz w:val="22"/>
          <w:szCs w:val="22"/>
          <w:lang w:val="en-CA"/>
        </w:rPr>
        <w:t>[</w:t>
      </w:r>
      <w:bookmarkStart w:id="4" w:name="par182"/>
      <w:r w:rsidRPr="0019776A">
        <w:rPr>
          <w:rFonts w:ascii="Arial" w:hAnsi="Arial" w:cs="Arial"/>
          <w:i/>
          <w:color w:val="000000"/>
          <w:sz w:val="22"/>
          <w:szCs w:val="22"/>
          <w:lang w:val="en-CA"/>
        </w:rPr>
        <w:t>182</w:t>
      </w:r>
      <w:bookmarkEnd w:id="4"/>
      <w:r w:rsidRPr="0019776A">
        <w:rPr>
          <w:rFonts w:ascii="Arial" w:hAnsi="Arial" w:cs="Arial"/>
          <w:i/>
          <w:color w:val="000000"/>
          <w:sz w:val="22"/>
          <w:szCs w:val="22"/>
          <w:lang w:val="en-CA"/>
        </w:rPr>
        <w:t>]     It is not enough for a defendant to point at the plaintiff and allege wrongdoing. It is critical that the defendant also prove that a plaintiff's failure to take reasonable care contributed to the injuries suffered: See </w:t>
      </w:r>
      <w:r w:rsidRPr="0019776A">
        <w:rPr>
          <w:rFonts w:ascii="Arial" w:hAnsi="Arial" w:cs="Arial"/>
          <w:i/>
          <w:iCs/>
          <w:color w:val="000000"/>
          <w:sz w:val="22"/>
          <w:szCs w:val="22"/>
          <w:lang w:val="en-CA"/>
        </w:rPr>
        <w:t xml:space="preserve">Wormald v. </w:t>
      </w:r>
      <w:proofErr w:type="spellStart"/>
      <w:r w:rsidRPr="0019776A">
        <w:rPr>
          <w:rFonts w:ascii="Arial" w:hAnsi="Arial" w:cs="Arial"/>
          <w:i/>
          <w:iCs/>
          <w:color w:val="000000"/>
          <w:sz w:val="22"/>
          <w:szCs w:val="22"/>
          <w:lang w:val="en-CA"/>
        </w:rPr>
        <w:t>Chiarot</w:t>
      </w:r>
      <w:proofErr w:type="spellEnd"/>
      <w:r w:rsidRPr="0019776A">
        <w:rPr>
          <w:rFonts w:ascii="Arial" w:hAnsi="Arial" w:cs="Arial"/>
          <w:i/>
          <w:color w:val="000000"/>
          <w:sz w:val="22"/>
          <w:szCs w:val="22"/>
          <w:lang w:val="en-CA"/>
        </w:rPr>
        <w:t>, </w:t>
      </w:r>
      <w:r w:rsidRPr="005E11B9">
        <w:rPr>
          <w:rStyle w:val="reflex3-alt"/>
          <w:rFonts w:ascii="Arial" w:hAnsi="Arial" w:cs="Arial"/>
          <w:i/>
          <w:sz w:val="22"/>
          <w:szCs w:val="22"/>
          <w:lang w:val="en-CA"/>
        </w:rPr>
        <w:t>2016 BCCA 415 (CanLII)</w:t>
      </w:r>
      <w:r w:rsidRPr="005E11B9">
        <w:rPr>
          <w:rStyle w:val="reflex3-block"/>
          <w:rFonts w:ascii="Arial" w:hAnsi="Arial" w:cs="Arial"/>
          <w:i/>
          <w:sz w:val="22"/>
          <w:szCs w:val="22"/>
          <w:lang w:val="en-CA"/>
        </w:rPr>
        <w:t>, at paragraphs </w:t>
      </w:r>
      <w:r w:rsidRPr="005E11B9">
        <w:rPr>
          <w:rFonts w:ascii="Arial" w:hAnsi="Arial" w:cs="Arial"/>
          <w:i/>
          <w:sz w:val="22"/>
          <w:szCs w:val="22"/>
          <w:lang w:val="en-CA"/>
        </w:rPr>
        <w:t>14 to 15, which read as follows:</w:t>
      </w:r>
    </w:p>
    <w:p w14:paraId="08F0ED0D" w14:textId="014135A4" w:rsidR="00485E20" w:rsidRPr="005E11B9" w:rsidRDefault="00485E20" w:rsidP="00996AE6">
      <w:pPr>
        <w:pStyle w:val="scjquote"/>
        <w:shd w:val="clear" w:color="auto" w:fill="FFFFFF"/>
        <w:spacing w:before="0" w:beforeAutospacing="0" w:after="120" w:afterAutospacing="0"/>
        <w:ind w:left="1440" w:right="1440"/>
        <w:jc w:val="both"/>
        <w:rPr>
          <w:rFonts w:ascii="Arial" w:hAnsi="Arial" w:cs="Arial"/>
          <w:i/>
          <w:sz w:val="22"/>
          <w:szCs w:val="22"/>
          <w:lang w:val="en-CA"/>
        </w:rPr>
      </w:pPr>
      <w:r w:rsidRPr="005E11B9">
        <w:rPr>
          <w:rFonts w:ascii="Arial" w:hAnsi="Arial" w:cs="Arial"/>
          <w:i/>
          <w:sz w:val="22"/>
          <w:szCs w:val="22"/>
          <w:lang w:val="en-CA"/>
        </w:rPr>
        <w:t>[14]  The analysis for contributory negligence involves two considerations: (1) whether the plaintiff failed to take reasonable care in her own interests; and (2) if so, whether that failure was causally connected to the loss she sustained:  </w:t>
      </w:r>
      <w:r w:rsidRPr="005E11B9">
        <w:rPr>
          <w:rFonts w:ascii="Arial" w:hAnsi="Arial" w:cs="Arial"/>
          <w:i/>
          <w:iCs/>
          <w:sz w:val="22"/>
          <w:szCs w:val="22"/>
          <w:lang w:val="en-CA"/>
        </w:rPr>
        <w:t>Enviro West Inc. v. Copper Mountain Mining Corporation</w:t>
      </w:r>
      <w:r w:rsidRPr="005E11B9">
        <w:rPr>
          <w:rFonts w:ascii="Arial" w:hAnsi="Arial" w:cs="Arial"/>
          <w:i/>
          <w:sz w:val="22"/>
          <w:szCs w:val="22"/>
          <w:lang w:val="en-CA"/>
        </w:rPr>
        <w:t>, </w:t>
      </w:r>
      <w:r w:rsidRPr="005E11B9">
        <w:rPr>
          <w:rStyle w:val="reflex3-alt"/>
          <w:rFonts w:ascii="Arial" w:hAnsi="Arial" w:cs="Arial"/>
          <w:i/>
          <w:sz w:val="22"/>
          <w:szCs w:val="22"/>
          <w:lang w:val="en-CA"/>
        </w:rPr>
        <w:t>2012 BCCA 23 (CanLII)</w:t>
      </w:r>
      <w:r w:rsidRPr="005E11B9">
        <w:rPr>
          <w:rStyle w:val="reflex3-block"/>
          <w:rFonts w:ascii="Arial" w:hAnsi="Arial" w:cs="Arial"/>
          <w:i/>
          <w:sz w:val="22"/>
          <w:szCs w:val="22"/>
          <w:lang w:val="en-CA"/>
        </w:rPr>
        <w:t> at para. </w:t>
      </w:r>
      <w:r w:rsidRPr="005E11B9">
        <w:rPr>
          <w:rFonts w:ascii="Arial" w:hAnsi="Arial" w:cs="Arial"/>
          <w:i/>
          <w:sz w:val="22"/>
          <w:szCs w:val="22"/>
          <w:lang w:val="en-CA"/>
        </w:rPr>
        <w:t>37.</w:t>
      </w:r>
    </w:p>
    <w:p w14:paraId="1DC2BF80" w14:textId="2A02A64A" w:rsidR="00485E20" w:rsidRPr="005E11B9" w:rsidRDefault="00485E20" w:rsidP="00996AE6">
      <w:pPr>
        <w:pStyle w:val="scjquote"/>
        <w:shd w:val="clear" w:color="auto" w:fill="FFFFFF"/>
        <w:spacing w:before="0" w:beforeAutospacing="0" w:after="360" w:afterAutospacing="0"/>
        <w:ind w:left="1440" w:right="1440"/>
        <w:jc w:val="both"/>
        <w:rPr>
          <w:rFonts w:ascii="Arial" w:hAnsi="Arial" w:cs="Arial"/>
          <w:i/>
          <w:sz w:val="22"/>
          <w:szCs w:val="22"/>
          <w:lang w:val="en-CA"/>
        </w:rPr>
      </w:pPr>
      <w:r w:rsidRPr="005E11B9">
        <w:rPr>
          <w:rFonts w:ascii="Arial" w:hAnsi="Arial" w:cs="Arial"/>
          <w:i/>
          <w:sz w:val="22"/>
          <w:szCs w:val="22"/>
          <w:lang w:val="en-CA"/>
        </w:rPr>
        <w:t>[15] To satisfy the requirement of a causal connection between the plaintiff’s breach of the standard of care and the loss sustained, the defendant must establish more than that but for her negligence, the damage would have been avoided. The plaintiff’s conduct must be a "proximate cause" of the loss in that the loss results from the type of risk to which the appellant exposed herself:  </w:t>
      </w:r>
      <w:r w:rsidRPr="005E11B9">
        <w:rPr>
          <w:rFonts w:ascii="Arial" w:hAnsi="Arial" w:cs="Arial"/>
          <w:i/>
          <w:iCs/>
          <w:sz w:val="22"/>
          <w:szCs w:val="22"/>
          <w:lang w:val="en-CA"/>
        </w:rPr>
        <w:t xml:space="preserve">Bevilacqua v. </w:t>
      </w:r>
      <w:proofErr w:type="spellStart"/>
      <w:r w:rsidRPr="005E11B9">
        <w:rPr>
          <w:rFonts w:ascii="Arial" w:hAnsi="Arial" w:cs="Arial"/>
          <w:i/>
          <w:iCs/>
          <w:sz w:val="22"/>
          <w:szCs w:val="22"/>
          <w:lang w:val="en-CA"/>
        </w:rPr>
        <w:t>Altenkirk</w:t>
      </w:r>
      <w:proofErr w:type="spellEnd"/>
      <w:r w:rsidRPr="005E11B9">
        <w:rPr>
          <w:rFonts w:ascii="Arial" w:hAnsi="Arial" w:cs="Arial"/>
          <w:i/>
          <w:sz w:val="22"/>
          <w:szCs w:val="22"/>
          <w:lang w:val="en-CA"/>
        </w:rPr>
        <w:t>, </w:t>
      </w:r>
      <w:r w:rsidRPr="005E11B9">
        <w:rPr>
          <w:rStyle w:val="reflex3-alt"/>
          <w:rFonts w:ascii="Arial" w:hAnsi="Arial" w:cs="Arial"/>
          <w:i/>
          <w:sz w:val="22"/>
          <w:szCs w:val="22"/>
          <w:lang w:val="en-CA"/>
        </w:rPr>
        <w:t>2004 BCSC 945 (CanLII)</w:t>
      </w:r>
      <w:r w:rsidRPr="005E11B9">
        <w:rPr>
          <w:rStyle w:val="reflex3-block"/>
          <w:rFonts w:ascii="Arial" w:hAnsi="Arial" w:cs="Arial"/>
          <w:i/>
          <w:sz w:val="22"/>
          <w:szCs w:val="22"/>
          <w:lang w:val="en-CA"/>
        </w:rPr>
        <w:t> at paras. </w:t>
      </w:r>
      <w:r w:rsidRPr="005E11B9">
        <w:rPr>
          <w:rFonts w:ascii="Arial" w:hAnsi="Arial" w:cs="Arial"/>
          <w:i/>
          <w:sz w:val="22"/>
          <w:szCs w:val="22"/>
          <w:lang w:val="en-CA"/>
        </w:rPr>
        <w:t>39–43</w:t>
      </w:r>
      <w:r w:rsidRPr="005E11B9">
        <w:rPr>
          <w:rStyle w:val="reflex3-block"/>
          <w:rFonts w:ascii="Arial" w:hAnsi="Arial" w:cs="Arial"/>
          <w:i/>
          <w:sz w:val="22"/>
          <w:szCs w:val="22"/>
          <w:lang w:val="en-CA"/>
        </w:rPr>
        <w:t xml:space="preserve"> (per </w:t>
      </w:r>
      <w:proofErr w:type="spellStart"/>
      <w:r w:rsidRPr="005E11B9">
        <w:rPr>
          <w:rStyle w:val="reflex3-block"/>
          <w:rFonts w:ascii="Arial" w:hAnsi="Arial" w:cs="Arial"/>
          <w:i/>
          <w:sz w:val="22"/>
          <w:szCs w:val="22"/>
          <w:lang w:val="en-CA"/>
        </w:rPr>
        <w:t>Groberman</w:t>
      </w:r>
      <w:proofErr w:type="spellEnd"/>
      <w:r w:rsidRPr="005E11B9">
        <w:rPr>
          <w:rStyle w:val="reflex3-block"/>
          <w:rFonts w:ascii="Arial" w:hAnsi="Arial" w:cs="Arial"/>
          <w:i/>
          <w:sz w:val="22"/>
          <w:szCs w:val="22"/>
          <w:lang w:val="en-CA"/>
        </w:rPr>
        <w:t xml:space="preserve"> J., as he then was)</w:t>
      </w:r>
      <w:r w:rsidRPr="005E11B9">
        <w:rPr>
          <w:rFonts w:ascii="Arial" w:hAnsi="Arial" w:cs="Arial"/>
          <w:i/>
          <w:sz w:val="22"/>
          <w:szCs w:val="22"/>
          <w:lang w:val="en-CA"/>
        </w:rPr>
        <w:t>. In other words, the plaintiff’s carelessness must relate to the risk that made the actual harm which occurred foreseeable:  </w:t>
      </w:r>
      <w:r w:rsidRPr="005E11B9">
        <w:rPr>
          <w:rFonts w:ascii="Arial" w:hAnsi="Arial" w:cs="Arial"/>
          <w:i/>
          <w:iCs/>
          <w:sz w:val="22"/>
          <w:szCs w:val="22"/>
          <w:lang w:val="en-CA"/>
        </w:rPr>
        <w:t>Cempel v. Harrison Hot Springs Hotel Ltd.</w:t>
      </w:r>
      <w:r w:rsidRPr="005E11B9">
        <w:rPr>
          <w:rFonts w:ascii="Arial" w:hAnsi="Arial" w:cs="Arial"/>
          <w:i/>
          <w:sz w:val="22"/>
          <w:szCs w:val="22"/>
          <w:lang w:val="en-CA"/>
        </w:rPr>
        <w:t> </w:t>
      </w:r>
      <w:r w:rsidRPr="005E11B9">
        <w:rPr>
          <w:rStyle w:val="reflex3-block"/>
          <w:rFonts w:ascii="Arial" w:hAnsi="Arial" w:cs="Arial"/>
          <w:i/>
          <w:sz w:val="22"/>
          <w:szCs w:val="22"/>
          <w:lang w:val="en-CA"/>
        </w:rPr>
        <w:t>(1997), </w:t>
      </w:r>
      <w:r w:rsidRPr="005E11B9">
        <w:rPr>
          <w:rFonts w:ascii="Arial" w:hAnsi="Arial" w:cs="Arial"/>
          <w:i/>
          <w:sz w:val="22"/>
          <w:szCs w:val="22"/>
          <w:lang w:val="en-CA"/>
        </w:rPr>
        <w:t>1997 CanLII 2374 (BC CA)</w:t>
      </w:r>
      <w:r w:rsidRPr="005E11B9">
        <w:rPr>
          <w:rStyle w:val="reflex3-block"/>
          <w:rFonts w:ascii="Arial" w:hAnsi="Arial" w:cs="Arial"/>
          <w:i/>
          <w:sz w:val="22"/>
          <w:szCs w:val="22"/>
          <w:lang w:val="en-CA"/>
        </w:rPr>
        <w:t>, </w:t>
      </w:r>
      <w:r w:rsidRPr="005E11B9">
        <w:rPr>
          <w:rStyle w:val="reflex3-alt"/>
          <w:rFonts w:ascii="Arial" w:hAnsi="Arial" w:cs="Arial"/>
          <w:i/>
          <w:sz w:val="22"/>
          <w:szCs w:val="22"/>
          <w:lang w:val="en-CA"/>
        </w:rPr>
        <w:t>43 B.C.L.R. (3d) 219</w:t>
      </w:r>
      <w:r w:rsidRPr="005E11B9">
        <w:rPr>
          <w:rStyle w:val="reflex3-block"/>
          <w:rFonts w:ascii="Arial" w:hAnsi="Arial" w:cs="Arial"/>
          <w:i/>
          <w:sz w:val="22"/>
          <w:szCs w:val="22"/>
          <w:lang w:val="en-CA"/>
        </w:rPr>
        <w:t>, </w:t>
      </w:r>
      <w:r w:rsidRPr="005E11B9">
        <w:rPr>
          <w:rStyle w:val="reflex3-alt"/>
          <w:rFonts w:ascii="Arial" w:hAnsi="Arial" w:cs="Arial"/>
          <w:i/>
          <w:sz w:val="22"/>
          <w:szCs w:val="22"/>
          <w:lang w:val="en-CA"/>
        </w:rPr>
        <w:t>[1998] 6 W.W.R. 233 (C.A.)</w:t>
      </w:r>
      <w:r w:rsidRPr="005E11B9">
        <w:rPr>
          <w:rStyle w:val="reflex3-block"/>
          <w:rFonts w:ascii="Arial" w:hAnsi="Arial" w:cs="Arial"/>
          <w:i/>
          <w:sz w:val="22"/>
          <w:szCs w:val="22"/>
          <w:lang w:val="en-CA"/>
        </w:rPr>
        <w:t> at para. </w:t>
      </w:r>
      <w:r w:rsidRPr="005E11B9">
        <w:rPr>
          <w:rFonts w:ascii="Arial" w:hAnsi="Arial" w:cs="Arial"/>
          <w:i/>
          <w:sz w:val="22"/>
          <w:szCs w:val="22"/>
          <w:lang w:val="en-CA"/>
        </w:rPr>
        <w:t>13.</w:t>
      </w:r>
    </w:p>
    <w:p w14:paraId="533958AE" w14:textId="77B78D02"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5E11B9">
        <w:rPr>
          <w:rFonts w:ascii="Arial" w:hAnsi="Arial" w:cs="Arial"/>
          <w:i/>
          <w:sz w:val="22"/>
          <w:szCs w:val="22"/>
          <w:lang w:val="en-CA"/>
        </w:rPr>
        <w:t>[</w:t>
      </w:r>
      <w:bookmarkStart w:id="5" w:name="par183"/>
      <w:r w:rsidRPr="005E11B9">
        <w:rPr>
          <w:rFonts w:ascii="Arial" w:hAnsi="Arial" w:cs="Arial"/>
          <w:i/>
          <w:sz w:val="22"/>
          <w:szCs w:val="22"/>
          <w:lang w:val="en-CA"/>
        </w:rPr>
        <w:t>183</w:t>
      </w:r>
      <w:bookmarkEnd w:id="5"/>
      <w:r w:rsidRPr="005E11B9">
        <w:rPr>
          <w:rFonts w:ascii="Arial" w:hAnsi="Arial" w:cs="Arial"/>
          <w:i/>
          <w:sz w:val="22"/>
          <w:szCs w:val="22"/>
          <w:lang w:val="en-CA"/>
        </w:rPr>
        <w:t>]     The defendants rely upon </w:t>
      </w:r>
      <w:proofErr w:type="spellStart"/>
      <w:r w:rsidRPr="005E11B9">
        <w:rPr>
          <w:rFonts w:ascii="Arial" w:hAnsi="Arial" w:cs="Arial"/>
          <w:i/>
          <w:iCs/>
          <w:sz w:val="22"/>
          <w:szCs w:val="22"/>
          <w:lang w:val="en-CA"/>
        </w:rPr>
        <w:t>Mawani</w:t>
      </w:r>
      <w:proofErr w:type="spellEnd"/>
      <w:r w:rsidRPr="005E11B9">
        <w:rPr>
          <w:rFonts w:ascii="Arial" w:hAnsi="Arial" w:cs="Arial"/>
          <w:i/>
          <w:iCs/>
          <w:sz w:val="22"/>
          <w:szCs w:val="22"/>
          <w:lang w:val="en-CA"/>
        </w:rPr>
        <w:t xml:space="preserve"> v. Pitcairn</w:t>
      </w:r>
      <w:r w:rsidRPr="005E11B9">
        <w:rPr>
          <w:rFonts w:ascii="Arial" w:hAnsi="Arial" w:cs="Arial"/>
          <w:i/>
          <w:sz w:val="22"/>
          <w:szCs w:val="22"/>
          <w:lang w:val="en-CA"/>
        </w:rPr>
        <w:t>, </w:t>
      </w:r>
      <w:r w:rsidRPr="005E11B9">
        <w:rPr>
          <w:rStyle w:val="reflex3-alt"/>
          <w:rFonts w:ascii="Arial" w:hAnsi="Arial" w:cs="Arial"/>
          <w:i/>
          <w:sz w:val="22"/>
          <w:szCs w:val="22"/>
          <w:lang w:val="en-CA"/>
        </w:rPr>
        <w:t>2012 BCSC 1288 (CanLII)</w:t>
      </w:r>
      <w:r w:rsidRPr="005E11B9">
        <w:rPr>
          <w:rFonts w:ascii="Arial" w:hAnsi="Arial" w:cs="Arial"/>
          <w:i/>
          <w:sz w:val="22"/>
          <w:szCs w:val="22"/>
          <w:lang w:val="en-CA"/>
        </w:rPr>
        <w:t xml:space="preserve">, </w:t>
      </w:r>
      <w:r w:rsidRPr="0019776A">
        <w:rPr>
          <w:rFonts w:ascii="Arial" w:hAnsi="Arial" w:cs="Arial"/>
          <w:i/>
          <w:color w:val="000000"/>
          <w:sz w:val="22"/>
          <w:szCs w:val="22"/>
          <w:lang w:val="en-CA"/>
        </w:rPr>
        <w:t>to support their argument for contributory negligence on grounds that Mr. Uy was going too fast for the conditions. However, I note in that case evidence was led about causation in the form of perception response time to support the finding (at para. 72).</w:t>
      </w:r>
    </w:p>
    <w:p w14:paraId="5A0BFA7A" w14:textId="77777777"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19776A">
        <w:rPr>
          <w:rFonts w:ascii="Arial" w:hAnsi="Arial" w:cs="Arial"/>
          <w:i/>
          <w:color w:val="000000"/>
          <w:sz w:val="22"/>
          <w:szCs w:val="22"/>
          <w:lang w:val="en-CA"/>
        </w:rPr>
        <w:t>[</w:t>
      </w:r>
      <w:bookmarkStart w:id="6" w:name="par184"/>
      <w:r w:rsidRPr="0019776A">
        <w:rPr>
          <w:rFonts w:ascii="Arial" w:hAnsi="Arial" w:cs="Arial"/>
          <w:i/>
          <w:color w:val="000000"/>
          <w:sz w:val="22"/>
          <w:szCs w:val="22"/>
          <w:lang w:val="en-CA"/>
        </w:rPr>
        <w:t>184</w:t>
      </w:r>
      <w:bookmarkEnd w:id="6"/>
      <w:r w:rsidRPr="0019776A">
        <w:rPr>
          <w:rFonts w:ascii="Arial" w:hAnsi="Arial" w:cs="Arial"/>
          <w:i/>
          <w:color w:val="000000"/>
          <w:sz w:val="22"/>
          <w:szCs w:val="22"/>
          <w:lang w:val="en-CA"/>
        </w:rPr>
        <w:t>]     In this case I have no such evidence. While I do accept that I do not need evidence on standard of care to determine what the appropriate standard is, I cannot find on the evidence before me that Mr. Uy's speed of 70 to 80 kilometres was careless or negligent. Mr. Jackson said that he considered 80 kilometres an hour to be an appropriate speed for the conditions for a passenger vehicle equipped with snow tires, and Mr. Uy's vehicle was so equipped. I do not agree with the defendants that while that speed may have been appropriate for Mr. Jackson, who knew this portion of the highway intimately, it was negligent in Mr. Uy's case.</w:t>
      </w:r>
    </w:p>
    <w:p w14:paraId="18951069" w14:textId="77777777"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19776A">
        <w:rPr>
          <w:rFonts w:ascii="Arial" w:hAnsi="Arial" w:cs="Arial"/>
          <w:i/>
          <w:color w:val="000000"/>
          <w:sz w:val="22"/>
          <w:szCs w:val="22"/>
          <w:lang w:val="en-CA"/>
        </w:rPr>
        <w:t>[</w:t>
      </w:r>
      <w:bookmarkStart w:id="7" w:name="par185"/>
      <w:r w:rsidRPr="0019776A">
        <w:rPr>
          <w:rFonts w:ascii="Arial" w:hAnsi="Arial" w:cs="Arial"/>
          <w:i/>
          <w:color w:val="000000"/>
          <w:sz w:val="22"/>
          <w:szCs w:val="22"/>
          <w:lang w:val="en-CA"/>
        </w:rPr>
        <w:t>185</w:t>
      </w:r>
      <w:bookmarkEnd w:id="7"/>
      <w:r w:rsidRPr="0019776A">
        <w:rPr>
          <w:rFonts w:ascii="Arial" w:hAnsi="Arial" w:cs="Arial"/>
          <w:i/>
          <w:color w:val="000000"/>
          <w:sz w:val="22"/>
          <w:szCs w:val="22"/>
          <w:lang w:val="en-CA"/>
        </w:rPr>
        <w:t>]     Nor do I have any evidentiary foundation upon which to find that Mr. Uy would have avoided the accident at any speed lower than the one he was driving at short of not exceeding the speed of Mr. Dhillon's tractor</w:t>
      </w:r>
      <w:r w:rsidRPr="0019776A">
        <w:rPr>
          <w:rFonts w:ascii="Arial" w:hAnsi="Arial" w:cs="Arial"/>
          <w:i/>
          <w:color w:val="000000"/>
          <w:sz w:val="22"/>
          <w:szCs w:val="22"/>
          <w:lang w:val="en-CA"/>
        </w:rPr>
        <w:noBreakHyphen/>
        <w:t>trailer. The evidence before me, however, does establish that tractor</w:t>
      </w:r>
      <w:r w:rsidRPr="0019776A">
        <w:rPr>
          <w:rFonts w:ascii="Arial" w:hAnsi="Arial" w:cs="Arial"/>
          <w:i/>
          <w:color w:val="000000"/>
          <w:sz w:val="22"/>
          <w:szCs w:val="22"/>
          <w:lang w:val="en-CA"/>
        </w:rPr>
        <w:noBreakHyphen/>
        <w:t>trailer combinations are required to go significantly slower than passenger vehicles down the steep grade involved here and that indeed Mr. Dhillon fully expected to be passed by such vehicles.</w:t>
      </w:r>
    </w:p>
    <w:p w14:paraId="29A349D0" w14:textId="77777777"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19776A">
        <w:rPr>
          <w:rFonts w:ascii="Arial" w:hAnsi="Arial" w:cs="Arial"/>
          <w:i/>
          <w:color w:val="000000"/>
          <w:sz w:val="22"/>
          <w:szCs w:val="22"/>
          <w:lang w:val="en-CA"/>
        </w:rPr>
        <w:t>[</w:t>
      </w:r>
      <w:bookmarkStart w:id="8" w:name="par186"/>
      <w:r w:rsidRPr="0019776A">
        <w:rPr>
          <w:rFonts w:ascii="Arial" w:hAnsi="Arial" w:cs="Arial"/>
          <w:i/>
          <w:color w:val="000000"/>
          <w:sz w:val="22"/>
          <w:szCs w:val="22"/>
          <w:lang w:val="en-CA"/>
        </w:rPr>
        <w:t>186</w:t>
      </w:r>
      <w:bookmarkEnd w:id="8"/>
      <w:r w:rsidRPr="0019776A">
        <w:rPr>
          <w:rFonts w:ascii="Arial" w:hAnsi="Arial" w:cs="Arial"/>
          <w:i/>
          <w:color w:val="000000"/>
          <w:sz w:val="22"/>
          <w:szCs w:val="22"/>
          <w:lang w:val="en-CA"/>
        </w:rPr>
        <w:t>]     I conclude that there was nothing that Mr. Uy could have reasonably done to avoid the collision. He was driving well below the speed limit. His Honda had snow tires and his headlights were activated. There is no evidence to suggest that Mr. Uy's Honda had any mechanical problems that could have contributed to the collision. There is no reliable evidence to suggest that Mr. Uy was distracted.</w:t>
      </w:r>
    </w:p>
    <w:p w14:paraId="785376D8" w14:textId="77777777" w:rsidR="00485E20" w:rsidRPr="0019776A" w:rsidRDefault="00485E20" w:rsidP="00485E20">
      <w:pPr>
        <w:pStyle w:val="scjnumber"/>
        <w:shd w:val="clear" w:color="auto" w:fill="FFFFFF"/>
        <w:tabs>
          <w:tab w:val="left" w:pos="360"/>
        </w:tabs>
        <w:spacing w:before="0" w:beforeAutospacing="0" w:after="240" w:afterAutospacing="0"/>
        <w:ind w:left="720" w:right="720"/>
        <w:jc w:val="both"/>
        <w:rPr>
          <w:rFonts w:ascii="Arial" w:hAnsi="Arial" w:cs="Arial"/>
          <w:i/>
          <w:color w:val="000000"/>
          <w:sz w:val="22"/>
          <w:szCs w:val="22"/>
          <w:lang w:val="en-CA"/>
        </w:rPr>
      </w:pPr>
      <w:r w:rsidRPr="0019776A">
        <w:rPr>
          <w:rFonts w:ascii="Arial" w:hAnsi="Arial" w:cs="Arial"/>
          <w:i/>
          <w:color w:val="000000"/>
          <w:sz w:val="22"/>
          <w:szCs w:val="22"/>
          <w:lang w:val="en-CA"/>
        </w:rPr>
        <w:t>[</w:t>
      </w:r>
      <w:bookmarkStart w:id="9" w:name="par187"/>
      <w:r w:rsidRPr="0019776A">
        <w:rPr>
          <w:rFonts w:ascii="Arial" w:hAnsi="Arial" w:cs="Arial"/>
          <w:i/>
          <w:color w:val="000000"/>
          <w:sz w:val="22"/>
          <w:szCs w:val="22"/>
          <w:lang w:val="en-CA"/>
        </w:rPr>
        <w:t>187</w:t>
      </w:r>
      <w:bookmarkEnd w:id="9"/>
      <w:r w:rsidRPr="0019776A">
        <w:rPr>
          <w:rFonts w:ascii="Arial" w:hAnsi="Arial" w:cs="Arial"/>
          <w:i/>
          <w:color w:val="000000"/>
          <w:sz w:val="22"/>
          <w:szCs w:val="22"/>
          <w:lang w:val="en-CA"/>
        </w:rPr>
        <w:t>]     I find the defendants have not established that Mr. Uy was contributorily negligent or that he contributed to Ms. De Leon's injuries.</w:t>
      </w:r>
    </w:p>
    <w:p w14:paraId="6985FE7C" w14:textId="77777777" w:rsidR="00996AE6" w:rsidRPr="00C90492" w:rsidRDefault="00996AE6" w:rsidP="00545533">
      <w:pPr>
        <w:spacing w:after="240" w:line="276" w:lineRule="auto"/>
        <w:jc w:val="both"/>
        <w:rPr>
          <w:rFonts w:ascii="Arial" w:hAnsi="Arial" w:cs="Arial"/>
          <w:bCs/>
          <w:sz w:val="28"/>
          <w:szCs w:val="24"/>
          <w:lang w:val="en-CA"/>
        </w:rPr>
      </w:pPr>
      <w:proofErr w:type="spellStart"/>
      <w:r w:rsidRPr="00C90492">
        <w:rPr>
          <w:rStyle w:val="Hyperlink"/>
          <w:rFonts w:ascii="Arial" w:hAnsi="Arial" w:cs="Arial"/>
          <w:bCs/>
          <w:i/>
          <w:color w:val="auto"/>
          <w:sz w:val="24"/>
          <w:u w:val="none"/>
          <w:lang w:val="en-CA"/>
        </w:rPr>
        <w:t>Alragheb</w:t>
      </w:r>
      <w:proofErr w:type="spellEnd"/>
      <w:r w:rsidRPr="00C90492">
        <w:rPr>
          <w:rStyle w:val="Hyperlink"/>
          <w:rFonts w:ascii="Arial" w:hAnsi="Arial" w:cs="Arial"/>
          <w:bCs/>
          <w:i/>
          <w:color w:val="auto"/>
          <w:sz w:val="24"/>
          <w:u w:val="none"/>
          <w:lang w:val="en-CA"/>
        </w:rPr>
        <w:t xml:space="preserve"> v. Francis</w:t>
      </w:r>
      <w:r w:rsidRPr="00C90492">
        <w:rPr>
          <w:rStyle w:val="Hyperlink"/>
          <w:rFonts w:ascii="Arial" w:hAnsi="Arial" w:cs="Arial"/>
          <w:bCs/>
          <w:color w:val="auto"/>
          <w:sz w:val="24"/>
          <w:u w:val="none"/>
          <w:lang w:val="en-CA"/>
        </w:rPr>
        <w:t xml:space="preserve">, </w:t>
      </w:r>
      <w:hyperlink r:id="rId56" w:history="1">
        <w:r w:rsidRPr="00C90492">
          <w:rPr>
            <w:rStyle w:val="Hyperlink"/>
            <w:rFonts w:ascii="Arial" w:hAnsi="Arial" w:cs="Arial"/>
            <w:bCs/>
            <w:sz w:val="24"/>
            <w:u w:val="none"/>
            <w:lang w:val="en-CA"/>
          </w:rPr>
          <w:t>2021 BCCA 457</w:t>
        </w:r>
      </w:hyperlink>
      <w:r w:rsidRPr="00C90492">
        <w:rPr>
          <w:rFonts w:ascii="Arial" w:hAnsi="Arial" w:cs="Arial"/>
          <w:bCs/>
          <w:sz w:val="24"/>
          <w:szCs w:val="24"/>
          <w:lang w:val="en-CA"/>
        </w:rPr>
        <w:t xml:space="preserve"> </w:t>
      </w:r>
    </w:p>
    <w:p w14:paraId="5480D481" w14:textId="528EEB14" w:rsidR="00996AE6" w:rsidRPr="004D6954" w:rsidRDefault="00996AE6" w:rsidP="00EF10C2">
      <w:pPr>
        <w:pStyle w:val="ListParagraph"/>
        <w:numPr>
          <w:ilvl w:val="0"/>
          <w:numId w:val="23"/>
        </w:numPr>
        <w:spacing w:line="276" w:lineRule="auto"/>
        <w:ind w:left="360"/>
        <w:jc w:val="both"/>
        <w:rPr>
          <w:rStyle w:val="Hyperlink"/>
          <w:rFonts w:ascii="Arial" w:hAnsi="Arial" w:cs="Arial"/>
          <w:color w:val="auto"/>
          <w:sz w:val="28"/>
          <w:szCs w:val="24"/>
          <w:u w:val="none"/>
          <w:lang w:val="en-CA"/>
        </w:rPr>
      </w:pPr>
      <w:r>
        <w:rPr>
          <w:rFonts w:ascii="Arial" w:hAnsi="Arial" w:cs="Arial"/>
          <w:sz w:val="24"/>
          <w:szCs w:val="24"/>
          <w:lang w:val="en-CA"/>
        </w:rPr>
        <w:t xml:space="preserve">This </w:t>
      </w:r>
      <w:r w:rsidRPr="00585720">
        <w:rPr>
          <w:rFonts w:ascii="Arial" w:hAnsi="Arial" w:cs="Arial"/>
          <w:sz w:val="24"/>
          <w:szCs w:val="24"/>
          <w:lang w:val="en-CA"/>
        </w:rPr>
        <w:t>BC</w:t>
      </w:r>
      <w:r>
        <w:rPr>
          <w:rFonts w:ascii="Arial" w:hAnsi="Arial" w:cs="Arial"/>
          <w:sz w:val="24"/>
          <w:szCs w:val="24"/>
          <w:lang w:val="en-CA"/>
        </w:rPr>
        <w:t xml:space="preserve"> </w:t>
      </w:r>
      <w:r w:rsidRPr="00585720">
        <w:rPr>
          <w:rFonts w:ascii="Arial" w:hAnsi="Arial" w:cs="Arial"/>
          <w:sz w:val="24"/>
          <w:szCs w:val="24"/>
          <w:lang w:val="en-CA"/>
        </w:rPr>
        <w:t>C</w:t>
      </w:r>
      <w:r>
        <w:rPr>
          <w:rFonts w:ascii="Arial" w:hAnsi="Arial" w:cs="Arial"/>
          <w:sz w:val="24"/>
          <w:szCs w:val="24"/>
          <w:lang w:val="en-CA"/>
        </w:rPr>
        <w:t xml:space="preserve">ourt of </w:t>
      </w:r>
      <w:r w:rsidRPr="00585720">
        <w:rPr>
          <w:rFonts w:ascii="Arial" w:hAnsi="Arial" w:cs="Arial"/>
          <w:sz w:val="24"/>
          <w:szCs w:val="24"/>
          <w:lang w:val="en-CA"/>
        </w:rPr>
        <w:t>A</w:t>
      </w:r>
      <w:r>
        <w:rPr>
          <w:rFonts w:ascii="Arial" w:hAnsi="Arial" w:cs="Arial"/>
          <w:sz w:val="24"/>
          <w:szCs w:val="24"/>
          <w:lang w:val="en-CA"/>
        </w:rPr>
        <w:t>ppeal</w:t>
      </w:r>
      <w:r w:rsidRPr="00585720">
        <w:rPr>
          <w:rFonts w:ascii="Arial" w:hAnsi="Arial" w:cs="Arial"/>
          <w:sz w:val="24"/>
          <w:szCs w:val="24"/>
          <w:lang w:val="en-CA"/>
        </w:rPr>
        <w:t xml:space="preserve"> decision </w:t>
      </w:r>
      <w:r>
        <w:rPr>
          <w:rFonts w:ascii="Arial" w:hAnsi="Arial" w:cs="Arial"/>
          <w:sz w:val="24"/>
          <w:szCs w:val="24"/>
          <w:lang w:val="en-CA"/>
        </w:rPr>
        <w:t xml:space="preserve">comments on the issue of contributory negligence by a plaintiff in a motor vehicle action where there are concurrent torts and indivisible injuries. In this </w:t>
      </w:r>
      <w:r w:rsidRPr="00585720">
        <w:rPr>
          <w:rStyle w:val="Hyperlink"/>
          <w:rFonts w:ascii="Arial" w:hAnsi="Arial" w:cs="Arial"/>
          <w:color w:val="auto"/>
          <w:sz w:val="24"/>
          <w:u w:val="none"/>
          <w:lang w:val="en-CA"/>
        </w:rPr>
        <w:t>decision</w:t>
      </w:r>
      <w:r>
        <w:rPr>
          <w:rStyle w:val="Hyperlink"/>
          <w:rFonts w:ascii="Arial" w:hAnsi="Arial" w:cs="Arial"/>
          <w:color w:val="auto"/>
          <w:sz w:val="24"/>
          <w:u w:val="none"/>
          <w:lang w:val="en-CA"/>
        </w:rPr>
        <w:t>,</w:t>
      </w:r>
      <w:r w:rsidRPr="00585720">
        <w:rPr>
          <w:rStyle w:val="Hyperlink"/>
          <w:rFonts w:ascii="Arial" w:hAnsi="Arial" w:cs="Arial"/>
          <w:color w:val="auto"/>
          <w:sz w:val="24"/>
          <w:u w:val="none"/>
          <w:lang w:val="en-CA"/>
        </w:rPr>
        <w:t xml:space="preserve"> the apportionment of liability was to be considered between two separate </w:t>
      </w:r>
      <w:r w:rsidR="002775BC">
        <w:rPr>
          <w:rStyle w:val="Hyperlink"/>
          <w:rFonts w:ascii="Arial" w:hAnsi="Arial" w:cs="Arial"/>
          <w:color w:val="auto"/>
          <w:sz w:val="24"/>
          <w:u w:val="none"/>
          <w:lang w:val="en-CA"/>
        </w:rPr>
        <w:t xml:space="preserve">MVAs that </w:t>
      </w:r>
      <w:r w:rsidRPr="00585720">
        <w:rPr>
          <w:rStyle w:val="Hyperlink"/>
          <w:rFonts w:ascii="Arial" w:hAnsi="Arial" w:cs="Arial"/>
          <w:color w:val="auto"/>
          <w:sz w:val="24"/>
          <w:u w:val="none"/>
          <w:lang w:val="en-CA"/>
        </w:rPr>
        <w:t xml:space="preserve">Mr. </w:t>
      </w:r>
      <w:proofErr w:type="spellStart"/>
      <w:r w:rsidRPr="00585720">
        <w:rPr>
          <w:rStyle w:val="Hyperlink"/>
          <w:rFonts w:ascii="Arial" w:hAnsi="Arial" w:cs="Arial"/>
          <w:color w:val="auto"/>
          <w:sz w:val="24"/>
          <w:u w:val="none"/>
          <w:lang w:val="en-CA"/>
        </w:rPr>
        <w:t>Alragheb</w:t>
      </w:r>
      <w:proofErr w:type="spellEnd"/>
      <w:r w:rsidRPr="00585720">
        <w:rPr>
          <w:rStyle w:val="Hyperlink"/>
          <w:rFonts w:ascii="Arial" w:hAnsi="Arial" w:cs="Arial"/>
          <w:color w:val="auto"/>
          <w:sz w:val="24"/>
          <w:u w:val="none"/>
          <w:lang w:val="en-CA"/>
        </w:rPr>
        <w:t xml:space="preserve"> </w:t>
      </w:r>
      <w:r>
        <w:rPr>
          <w:rStyle w:val="Hyperlink"/>
          <w:rFonts w:ascii="Arial" w:hAnsi="Arial" w:cs="Arial"/>
          <w:color w:val="auto"/>
          <w:sz w:val="24"/>
          <w:u w:val="none"/>
          <w:lang w:val="en-CA"/>
        </w:rPr>
        <w:t xml:space="preserve">was </w:t>
      </w:r>
      <w:r w:rsidRPr="00585720">
        <w:rPr>
          <w:rStyle w:val="Hyperlink"/>
          <w:rFonts w:ascii="Arial" w:hAnsi="Arial" w:cs="Arial"/>
          <w:color w:val="auto"/>
          <w:sz w:val="24"/>
          <w:u w:val="none"/>
          <w:lang w:val="en-CA"/>
        </w:rPr>
        <w:t xml:space="preserve">involved in. </w:t>
      </w:r>
    </w:p>
    <w:p w14:paraId="6D65438F" w14:textId="77777777" w:rsidR="00996AE6" w:rsidRPr="004D6954" w:rsidRDefault="00996AE6" w:rsidP="00996AE6">
      <w:pPr>
        <w:pStyle w:val="ListParagraph"/>
        <w:rPr>
          <w:rStyle w:val="Hyperlink"/>
          <w:rFonts w:ascii="Arial" w:hAnsi="Arial" w:cs="Arial"/>
          <w:color w:val="auto"/>
          <w:sz w:val="24"/>
          <w:u w:val="none"/>
          <w:lang w:val="en-CA"/>
        </w:rPr>
      </w:pPr>
    </w:p>
    <w:p w14:paraId="60DDB7F6" w14:textId="77777777" w:rsidR="00996AE6" w:rsidRPr="00B065B1" w:rsidRDefault="00996AE6" w:rsidP="00EF10C2">
      <w:pPr>
        <w:pStyle w:val="ListParagraph"/>
        <w:numPr>
          <w:ilvl w:val="0"/>
          <w:numId w:val="23"/>
        </w:numPr>
        <w:spacing w:line="276" w:lineRule="auto"/>
        <w:ind w:left="360"/>
        <w:jc w:val="both"/>
        <w:rPr>
          <w:rStyle w:val="Hyperlink"/>
          <w:rFonts w:ascii="Arial" w:hAnsi="Arial" w:cs="Arial"/>
          <w:color w:val="auto"/>
          <w:sz w:val="28"/>
          <w:szCs w:val="24"/>
          <w:u w:val="none"/>
          <w:lang w:val="en-CA"/>
        </w:rPr>
      </w:pPr>
      <w:r>
        <w:rPr>
          <w:rStyle w:val="Hyperlink"/>
          <w:rFonts w:ascii="Arial" w:hAnsi="Arial" w:cs="Arial"/>
          <w:color w:val="auto"/>
          <w:sz w:val="24"/>
          <w:u w:val="none"/>
          <w:lang w:val="en-CA"/>
        </w:rPr>
        <w:t xml:space="preserve">On June 22, 2016, Mr. </w:t>
      </w:r>
      <w:proofErr w:type="spellStart"/>
      <w:r>
        <w:rPr>
          <w:rStyle w:val="Hyperlink"/>
          <w:rFonts w:ascii="Arial" w:hAnsi="Arial" w:cs="Arial"/>
          <w:color w:val="auto"/>
          <w:sz w:val="24"/>
          <w:u w:val="none"/>
          <w:lang w:val="en-CA"/>
        </w:rPr>
        <w:t>Alragheb</w:t>
      </w:r>
      <w:proofErr w:type="spellEnd"/>
      <w:r>
        <w:rPr>
          <w:rStyle w:val="Hyperlink"/>
          <w:rFonts w:ascii="Arial" w:hAnsi="Arial" w:cs="Arial"/>
          <w:color w:val="auto"/>
          <w:sz w:val="24"/>
          <w:u w:val="none"/>
          <w:lang w:val="en-CA"/>
        </w:rPr>
        <w:t xml:space="preserve"> suffered minor injuries when he was struck by one of the respondents, Mr. Francis, while riding his bicycle on the sidewalk of No.4 Road in Richmond. Liability was apportioned equally for this accident.</w:t>
      </w:r>
    </w:p>
    <w:p w14:paraId="34E751AD" w14:textId="77777777" w:rsidR="00996AE6" w:rsidRPr="00B065B1" w:rsidRDefault="00996AE6" w:rsidP="00996AE6">
      <w:pPr>
        <w:pStyle w:val="ListParagraph"/>
        <w:rPr>
          <w:rStyle w:val="Hyperlink"/>
          <w:rFonts w:ascii="Arial" w:hAnsi="Arial" w:cs="Arial"/>
          <w:color w:val="auto"/>
          <w:sz w:val="28"/>
          <w:szCs w:val="24"/>
          <w:u w:val="none"/>
          <w:lang w:val="en-CA"/>
        </w:rPr>
      </w:pPr>
    </w:p>
    <w:p w14:paraId="2935369C" w14:textId="218042E3" w:rsidR="00996AE6" w:rsidRPr="00996AE6" w:rsidRDefault="00996AE6" w:rsidP="00EF10C2">
      <w:pPr>
        <w:pStyle w:val="ListParagraph"/>
        <w:numPr>
          <w:ilvl w:val="0"/>
          <w:numId w:val="23"/>
        </w:numPr>
        <w:spacing w:line="276" w:lineRule="auto"/>
        <w:ind w:left="360"/>
        <w:jc w:val="both"/>
        <w:rPr>
          <w:rStyle w:val="Hyperlink"/>
          <w:rFonts w:ascii="Arial" w:hAnsi="Arial" w:cs="Arial"/>
          <w:color w:val="auto"/>
          <w:sz w:val="28"/>
          <w:szCs w:val="24"/>
          <w:u w:val="none"/>
          <w:lang w:val="en-CA"/>
        </w:rPr>
      </w:pPr>
      <w:r>
        <w:rPr>
          <w:rStyle w:val="Hyperlink"/>
          <w:rFonts w:ascii="Arial" w:hAnsi="Arial" w:cs="Arial"/>
          <w:color w:val="auto"/>
          <w:sz w:val="24"/>
          <w:u w:val="none"/>
          <w:lang w:val="en-CA"/>
        </w:rPr>
        <w:t xml:space="preserve">On January 19, 2017, Mr. </w:t>
      </w:r>
      <w:proofErr w:type="spellStart"/>
      <w:r>
        <w:rPr>
          <w:rStyle w:val="Hyperlink"/>
          <w:rFonts w:ascii="Arial" w:hAnsi="Arial" w:cs="Arial"/>
          <w:color w:val="auto"/>
          <w:sz w:val="24"/>
          <w:u w:val="none"/>
          <w:lang w:val="en-CA"/>
        </w:rPr>
        <w:t>Alragheb</w:t>
      </w:r>
      <w:proofErr w:type="spellEnd"/>
      <w:r>
        <w:rPr>
          <w:rStyle w:val="Hyperlink"/>
          <w:rFonts w:ascii="Arial" w:hAnsi="Arial" w:cs="Arial"/>
          <w:color w:val="auto"/>
          <w:sz w:val="24"/>
          <w:u w:val="none"/>
          <w:lang w:val="en-CA"/>
        </w:rPr>
        <w:t xml:space="preserve"> was stopped at a traffic signal when he was rear-ended by one of the respondents, Ms. Gibbon. Liability was apportioned entirely to Ms. Gibbon in this accident. The tr</w:t>
      </w:r>
      <w:r w:rsidR="0055073C">
        <w:rPr>
          <w:rStyle w:val="Hyperlink"/>
          <w:rFonts w:ascii="Arial" w:hAnsi="Arial" w:cs="Arial"/>
          <w:color w:val="auto"/>
          <w:sz w:val="24"/>
          <w:u w:val="none"/>
          <w:lang w:val="en-CA"/>
        </w:rPr>
        <w:t>ia</w:t>
      </w:r>
      <w:r>
        <w:rPr>
          <w:rStyle w:val="Hyperlink"/>
          <w:rFonts w:ascii="Arial" w:hAnsi="Arial" w:cs="Arial"/>
          <w:color w:val="auto"/>
          <w:sz w:val="24"/>
          <w:u w:val="none"/>
          <w:lang w:val="en-CA"/>
        </w:rPr>
        <w:t xml:space="preserve">l judge concluded that Mr. </w:t>
      </w:r>
      <w:proofErr w:type="spellStart"/>
      <w:r>
        <w:rPr>
          <w:rStyle w:val="Hyperlink"/>
          <w:rFonts w:ascii="Arial" w:hAnsi="Arial" w:cs="Arial"/>
          <w:color w:val="auto"/>
          <w:sz w:val="24"/>
          <w:u w:val="none"/>
          <w:lang w:val="en-CA"/>
        </w:rPr>
        <w:t>Alragheb</w:t>
      </w:r>
      <w:proofErr w:type="spellEnd"/>
      <w:r>
        <w:rPr>
          <w:rStyle w:val="Hyperlink"/>
          <w:rFonts w:ascii="Arial" w:hAnsi="Arial" w:cs="Arial"/>
          <w:color w:val="auto"/>
          <w:sz w:val="24"/>
          <w:u w:val="none"/>
          <w:lang w:val="en-CA"/>
        </w:rPr>
        <w:t xml:space="preserve"> suffered </w:t>
      </w:r>
      <w:r w:rsidRPr="0055073C">
        <w:rPr>
          <w:rStyle w:val="Hyperlink"/>
          <w:rFonts w:ascii="Arial" w:hAnsi="Arial" w:cs="Arial"/>
          <w:b/>
          <w:bCs/>
          <w:color w:val="auto"/>
          <w:sz w:val="24"/>
          <w:u w:val="none"/>
          <w:lang w:val="en-CA"/>
        </w:rPr>
        <w:t>multiple indivisible injuries</w:t>
      </w:r>
      <w:r>
        <w:rPr>
          <w:rStyle w:val="Hyperlink"/>
          <w:rFonts w:ascii="Arial" w:hAnsi="Arial" w:cs="Arial"/>
          <w:color w:val="auto"/>
          <w:sz w:val="24"/>
          <w:u w:val="none"/>
          <w:lang w:val="en-CA"/>
        </w:rPr>
        <w:t xml:space="preserve"> between the two MVAs. The injuries suffered by Mr. </w:t>
      </w:r>
      <w:proofErr w:type="spellStart"/>
      <w:r>
        <w:rPr>
          <w:rStyle w:val="Hyperlink"/>
          <w:rFonts w:ascii="Arial" w:hAnsi="Arial" w:cs="Arial"/>
          <w:color w:val="auto"/>
          <w:sz w:val="24"/>
          <w:u w:val="none"/>
          <w:lang w:val="en-CA"/>
        </w:rPr>
        <w:t>Alragheb</w:t>
      </w:r>
      <w:proofErr w:type="spellEnd"/>
      <w:r>
        <w:rPr>
          <w:rStyle w:val="Hyperlink"/>
          <w:rFonts w:ascii="Arial" w:hAnsi="Arial" w:cs="Arial"/>
          <w:color w:val="auto"/>
          <w:sz w:val="24"/>
          <w:u w:val="none"/>
          <w:lang w:val="en-CA"/>
        </w:rPr>
        <w:t>, and the trial judge’s apportionment of liability are summarized in paras. 4-6 of the decision.</w:t>
      </w:r>
    </w:p>
    <w:p w14:paraId="69D5EFBC" w14:textId="7256F006" w:rsidR="00996AE6" w:rsidRPr="00996AE6" w:rsidRDefault="00996AE6" w:rsidP="00996AE6">
      <w:pPr>
        <w:spacing w:line="276" w:lineRule="auto"/>
        <w:jc w:val="both"/>
        <w:rPr>
          <w:rStyle w:val="Hyperlink"/>
          <w:rFonts w:ascii="Arial" w:hAnsi="Arial" w:cs="Arial"/>
          <w:color w:val="auto"/>
          <w:sz w:val="28"/>
          <w:szCs w:val="24"/>
          <w:u w:val="none"/>
          <w:lang w:val="en-CA"/>
        </w:rPr>
      </w:pPr>
    </w:p>
    <w:p w14:paraId="797CD390" w14:textId="13A0FAA8" w:rsidR="00996AE6" w:rsidRPr="005F0942" w:rsidRDefault="00996AE6" w:rsidP="00EF10C2">
      <w:pPr>
        <w:pStyle w:val="ListParagraph"/>
        <w:numPr>
          <w:ilvl w:val="0"/>
          <w:numId w:val="23"/>
        </w:numPr>
        <w:spacing w:line="276" w:lineRule="auto"/>
        <w:ind w:left="360"/>
        <w:jc w:val="both"/>
        <w:rPr>
          <w:rStyle w:val="Hyperlink"/>
          <w:rFonts w:ascii="Arial" w:hAnsi="Arial" w:cs="Arial"/>
          <w:color w:val="auto"/>
          <w:sz w:val="28"/>
          <w:szCs w:val="24"/>
          <w:u w:val="none"/>
          <w:lang w:val="en-CA"/>
        </w:rPr>
      </w:pPr>
      <w:r w:rsidRPr="005F0942">
        <w:rPr>
          <w:rStyle w:val="Hyperlink"/>
          <w:rFonts w:ascii="Arial" w:hAnsi="Arial" w:cs="Arial"/>
          <w:color w:val="auto"/>
          <w:sz w:val="24"/>
          <w:u w:val="none"/>
          <w:lang w:val="en-CA"/>
        </w:rPr>
        <w:t xml:space="preserve">Wilcock J.A., writing for the </w:t>
      </w:r>
      <w:r w:rsidR="002775BC" w:rsidRPr="005F0942">
        <w:rPr>
          <w:rStyle w:val="Hyperlink"/>
          <w:rFonts w:ascii="Arial" w:hAnsi="Arial" w:cs="Arial"/>
          <w:color w:val="auto"/>
          <w:sz w:val="24"/>
          <w:u w:val="none"/>
          <w:lang w:val="en-CA"/>
        </w:rPr>
        <w:t>C</w:t>
      </w:r>
      <w:r w:rsidRPr="005F0942">
        <w:rPr>
          <w:rStyle w:val="Hyperlink"/>
          <w:rFonts w:ascii="Arial" w:hAnsi="Arial" w:cs="Arial"/>
          <w:color w:val="auto"/>
          <w:sz w:val="24"/>
          <w:u w:val="none"/>
          <w:lang w:val="en-CA"/>
        </w:rPr>
        <w:t xml:space="preserve">ourt, summarized the principles </w:t>
      </w:r>
      <w:r w:rsidR="002775BC" w:rsidRPr="005F0942">
        <w:rPr>
          <w:rStyle w:val="Hyperlink"/>
          <w:rFonts w:ascii="Arial" w:hAnsi="Arial" w:cs="Arial"/>
          <w:color w:val="auto"/>
          <w:sz w:val="24"/>
          <w:u w:val="none"/>
          <w:lang w:val="en-CA"/>
        </w:rPr>
        <w:t>of apportionment</w:t>
      </w:r>
      <w:r w:rsidRPr="005F0942">
        <w:rPr>
          <w:rStyle w:val="Hyperlink"/>
          <w:rFonts w:ascii="Arial" w:hAnsi="Arial" w:cs="Arial"/>
          <w:color w:val="auto"/>
          <w:sz w:val="24"/>
          <w:u w:val="none"/>
          <w:lang w:val="en-CA"/>
        </w:rPr>
        <w:t xml:space="preserve"> of liability </w:t>
      </w:r>
      <w:r w:rsidR="002775BC" w:rsidRPr="005F0942">
        <w:rPr>
          <w:rStyle w:val="Hyperlink"/>
          <w:rFonts w:ascii="Arial" w:hAnsi="Arial" w:cs="Arial"/>
          <w:color w:val="auto"/>
          <w:sz w:val="24"/>
          <w:u w:val="none"/>
          <w:lang w:val="en-CA"/>
        </w:rPr>
        <w:t>at paras. 26-30</w:t>
      </w:r>
      <w:r w:rsidRPr="005F0942">
        <w:rPr>
          <w:rStyle w:val="Hyperlink"/>
          <w:rFonts w:ascii="Arial" w:hAnsi="Arial" w:cs="Arial"/>
          <w:color w:val="auto"/>
          <w:sz w:val="24"/>
          <w:u w:val="none"/>
          <w:lang w:val="en-CA"/>
        </w:rPr>
        <w:t>:</w:t>
      </w:r>
    </w:p>
    <w:p w14:paraId="44CD33CC" w14:textId="77777777" w:rsidR="00996AE6" w:rsidRPr="005F0942" w:rsidRDefault="00996AE6" w:rsidP="00996AE6">
      <w:pPr>
        <w:pStyle w:val="ListParagraph"/>
        <w:rPr>
          <w:rStyle w:val="Hyperlink"/>
          <w:rFonts w:ascii="Arial" w:hAnsi="Arial" w:cs="Arial"/>
          <w:color w:val="auto"/>
          <w:sz w:val="28"/>
          <w:szCs w:val="24"/>
          <w:u w:val="none"/>
          <w:lang w:val="en-CA"/>
        </w:rPr>
      </w:pPr>
    </w:p>
    <w:p w14:paraId="0F48F5F3" w14:textId="77777777"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[26]      First, the law does not apportion liability for damages between tortious and non</w:t>
      </w:r>
      <w:r w:rsidRPr="005F0942">
        <w:rPr>
          <w:rStyle w:val="Hyperlink"/>
          <w:rFonts w:ascii="Cambria Math" w:hAnsi="Cambria Math" w:cs="Cambria Math"/>
          <w:i/>
          <w:color w:val="auto"/>
          <w:szCs w:val="24"/>
          <w:u w:val="none"/>
          <w:lang w:val="en-CA"/>
        </w:rPr>
        <w:t>‑</w:t>
      </w:r>
      <w:r w:rsidRPr="005F0942">
        <w:rPr>
          <w:rStyle w:val="Hyperlink"/>
          <w:rFonts w:ascii="Arial" w:hAnsi="Arial" w:cs="Arial"/>
          <w:i/>
          <w:color w:val="auto"/>
          <w:szCs w:val="24"/>
          <w:u w:val="none"/>
          <w:lang w:val="en-CA"/>
        </w:rPr>
        <w:t xml:space="preserve">tortious conduct: Athey v. </w:t>
      </w:r>
      <w:proofErr w:type="spellStart"/>
      <w:r w:rsidRPr="005F0942">
        <w:rPr>
          <w:rStyle w:val="Hyperlink"/>
          <w:rFonts w:ascii="Arial" w:hAnsi="Arial" w:cs="Arial"/>
          <w:i/>
          <w:color w:val="auto"/>
          <w:szCs w:val="24"/>
          <w:u w:val="none"/>
          <w:lang w:val="en-CA"/>
        </w:rPr>
        <w:t>Leonati</w:t>
      </w:r>
      <w:proofErr w:type="spellEnd"/>
      <w:r w:rsidRPr="005F0942">
        <w:rPr>
          <w:rStyle w:val="Hyperlink"/>
          <w:rFonts w:ascii="Arial" w:hAnsi="Arial" w:cs="Arial"/>
          <w:i/>
          <w:color w:val="auto"/>
          <w:szCs w:val="24"/>
          <w:u w:val="none"/>
          <w:lang w:val="en-CA"/>
        </w:rPr>
        <w:t>, 1996 CanLII 183 (SCC), [1996] 3 S.C.R. 458 at paras. 22–23.</w:t>
      </w:r>
    </w:p>
    <w:p w14:paraId="7D1020C6" w14:textId="77777777"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p>
    <w:p w14:paraId="6EC6404A" w14:textId="77777777"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[27]      Second, the rule that damages are assessed with a view toward putting the plaintiff in the position they would have occupied but for the tort is a rule that governs the assessment of damages, not the apportionment of liability. It is the means by which allowance is made for non</w:t>
      </w:r>
      <w:r w:rsidRPr="005F0942">
        <w:rPr>
          <w:rStyle w:val="Hyperlink"/>
          <w:rFonts w:ascii="Cambria Math" w:hAnsi="Cambria Math" w:cs="Cambria Math"/>
          <w:i/>
          <w:color w:val="auto"/>
          <w:szCs w:val="24"/>
          <w:u w:val="none"/>
          <w:lang w:val="en-CA"/>
        </w:rPr>
        <w:t>‑</w:t>
      </w:r>
      <w:r w:rsidRPr="005F0942">
        <w:rPr>
          <w:rStyle w:val="Hyperlink"/>
          <w:rFonts w:ascii="Arial" w:hAnsi="Arial" w:cs="Arial"/>
          <w:i/>
          <w:color w:val="auto"/>
          <w:szCs w:val="24"/>
          <w:u w:val="none"/>
          <w:lang w:val="en-CA"/>
        </w:rPr>
        <w:t>tortious causes. Cases in which pre</w:t>
      </w:r>
      <w:r w:rsidRPr="005F0942">
        <w:rPr>
          <w:rStyle w:val="Hyperlink"/>
          <w:rFonts w:ascii="Cambria Math" w:hAnsi="Cambria Math" w:cs="Cambria Math"/>
          <w:i/>
          <w:color w:val="auto"/>
          <w:szCs w:val="24"/>
          <w:u w:val="none"/>
          <w:lang w:val="en-CA"/>
        </w:rPr>
        <w:t>‑</w:t>
      </w:r>
      <w:r w:rsidRPr="005F0942">
        <w:rPr>
          <w:rStyle w:val="Hyperlink"/>
          <w:rFonts w:ascii="Arial" w:hAnsi="Arial" w:cs="Arial"/>
          <w:i/>
          <w:color w:val="auto"/>
          <w:szCs w:val="24"/>
          <w:u w:val="none"/>
          <w:lang w:val="en-CA"/>
        </w:rPr>
        <w:t>existing conditions or prior injuries are weighed in the assessment of damages are not of assistance in understanding the principles of apportionment.</w:t>
      </w:r>
    </w:p>
    <w:p w14:paraId="469D5A88" w14:textId="77777777"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p>
    <w:p w14:paraId="1DA6F2CB" w14:textId="77777777"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 xml:space="preserve">[28]      Third, </w:t>
      </w:r>
      <w:proofErr w:type="gramStart"/>
      <w:r w:rsidRPr="005F0942">
        <w:rPr>
          <w:rStyle w:val="Hyperlink"/>
          <w:rFonts w:ascii="Arial" w:hAnsi="Arial" w:cs="Arial"/>
          <w:i/>
          <w:color w:val="auto"/>
          <w:szCs w:val="24"/>
          <w:u w:val="none"/>
          <w:lang w:val="en-CA"/>
        </w:rPr>
        <w:t>where by</w:t>
      </w:r>
      <w:proofErr w:type="gramEnd"/>
      <w:r w:rsidRPr="005F0942">
        <w:rPr>
          <w:rStyle w:val="Hyperlink"/>
          <w:rFonts w:ascii="Arial" w:hAnsi="Arial" w:cs="Arial"/>
          <w:i/>
          <w:color w:val="auto"/>
          <w:szCs w:val="24"/>
          <w:u w:val="none"/>
          <w:lang w:val="en-CA"/>
        </w:rPr>
        <w:t xml:space="preserve"> the fault of two or more persons damage or loss is caused to one or more of them (as is the case where concurrent torts cause an indivisible injury), the liability to make good the damage or loss is in proportion to the degree to which each person was at fault. That is our statutory regime.</w:t>
      </w:r>
    </w:p>
    <w:p w14:paraId="28BD11FD" w14:textId="77777777"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p>
    <w:p w14:paraId="7867F23F" w14:textId="1C635E01"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[29]      Fourth, where the plaintiff is one of the persons at fault, the liability of all parties at fault (which in the absence of contributory negligence would have been joint and several) is severed. Contributory negligence severs the liability of the separate tortfeasors, in effect causing the plaintiff to bear the pain caused by absent, impecunious or uninsured tortfeasors. The Act does not otherwise call for the application of distinct rules of apportionment where there is contributory negligence (except that where there is several rather than joint liability, the court may have to determine the extent to which non</w:t>
      </w:r>
      <w:r w:rsidRPr="005F0942">
        <w:rPr>
          <w:rStyle w:val="Hyperlink"/>
          <w:rFonts w:ascii="Cambria Math" w:hAnsi="Cambria Math" w:cs="Cambria Math"/>
          <w:i/>
          <w:color w:val="auto"/>
          <w:szCs w:val="24"/>
          <w:u w:val="none"/>
          <w:lang w:val="en-CA"/>
        </w:rPr>
        <w:t>‑</w:t>
      </w:r>
      <w:r w:rsidRPr="005F0942">
        <w:rPr>
          <w:rStyle w:val="Hyperlink"/>
          <w:rFonts w:ascii="Arial" w:hAnsi="Arial" w:cs="Arial"/>
          <w:i/>
          <w:color w:val="auto"/>
          <w:szCs w:val="24"/>
          <w:u w:val="none"/>
          <w:lang w:val="en-CA"/>
        </w:rPr>
        <w:t xml:space="preserve">parties may have been at fault: see Leischner v. West Kootenay Power &amp; Light Co. Ltd. </w:t>
      </w:r>
      <w:r w:rsidR="0055073C">
        <w:rPr>
          <w:rStyle w:val="Hyperlink"/>
          <w:rFonts w:ascii="Arial" w:hAnsi="Arial" w:cs="Arial"/>
          <w:i/>
          <w:color w:val="auto"/>
          <w:szCs w:val="24"/>
          <w:u w:val="none"/>
          <w:lang w:val="en-CA"/>
        </w:rPr>
        <w:t>….</w:t>
      </w:r>
      <w:r w:rsidRPr="005F0942">
        <w:rPr>
          <w:rStyle w:val="Hyperlink"/>
          <w:rFonts w:ascii="Arial" w:hAnsi="Arial" w:cs="Arial"/>
          <w:i/>
          <w:color w:val="auto"/>
          <w:szCs w:val="24"/>
          <w:u w:val="none"/>
          <w:lang w:val="en-CA"/>
        </w:rPr>
        <w:t xml:space="preserve"> The fact that liability is severed does not affect the rule that liability is apportioned by degrees of fault.</w:t>
      </w:r>
    </w:p>
    <w:p w14:paraId="46C544D6" w14:textId="77777777"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p>
    <w:p w14:paraId="18EE9997" w14:textId="77777777" w:rsidR="00996AE6" w:rsidRPr="005F0942" w:rsidRDefault="00996AE6" w:rsidP="00996AE6">
      <w:pPr>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[30]      Last, where liability and damages arising from a prior tort have been finally assessed, that effectively severs liability, even where a subsequent tort causes aggravation and contributes to what might otherwise have been considered to be an indivisible, cumulative injury. The issue was addressed by this Court in Ashcroft v. Dhaliwal, 2008 BCCA 352. In such a case, the first judgment is taken to have effectively apportioned damages between accidents. It does not assist in identifying the guiding principles of apportionment to consider how rules of apportionment may unsettle or be inconsistent with prior assessments of liability.</w:t>
      </w:r>
    </w:p>
    <w:p w14:paraId="1486F326" w14:textId="77777777" w:rsidR="00996AE6" w:rsidRPr="005F0942" w:rsidRDefault="00996AE6" w:rsidP="00996AE6">
      <w:pPr>
        <w:pStyle w:val="ListParagraph"/>
        <w:rPr>
          <w:rStyle w:val="Hyperlink"/>
          <w:rFonts w:ascii="Arial" w:hAnsi="Arial" w:cs="Arial"/>
          <w:color w:val="auto"/>
          <w:sz w:val="24"/>
          <w:szCs w:val="24"/>
          <w:u w:val="none"/>
          <w:lang w:val="en-CA"/>
        </w:rPr>
      </w:pPr>
    </w:p>
    <w:p w14:paraId="182AC29D" w14:textId="18102BEB" w:rsidR="00996AE6" w:rsidRPr="00915B05" w:rsidRDefault="00996AE6" w:rsidP="00EF10C2">
      <w:pPr>
        <w:pStyle w:val="ListParagraph"/>
        <w:numPr>
          <w:ilvl w:val="0"/>
          <w:numId w:val="23"/>
        </w:numPr>
        <w:spacing w:line="276" w:lineRule="auto"/>
        <w:ind w:left="360"/>
        <w:jc w:val="both"/>
        <w:rPr>
          <w:rStyle w:val="Hyperlink"/>
          <w:rFonts w:ascii="Arial" w:hAnsi="Arial" w:cs="Arial"/>
          <w:color w:val="auto"/>
          <w:sz w:val="28"/>
          <w:szCs w:val="24"/>
          <w:u w:val="none"/>
          <w:lang w:val="en-CA"/>
        </w:rPr>
      </w:pPr>
      <w:r>
        <w:rPr>
          <w:rStyle w:val="Hyperlink"/>
          <w:rFonts w:ascii="Arial" w:hAnsi="Arial" w:cs="Arial"/>
          <w:color w:val="auto"/>
          <w:sz w:val="24"/>
          <w:szCs w:val="24"/>
          <w:u w:val="none"/>
          <w:lang w:val="en-CA"/>
        </w:rPr>
        <w:t xml:space="preserve">Wilcock J.A. went on to critique the trial judge’s application of the </w:t>
      </w:r>
      <w:r>
        <w:rPr>
          <w:rStyle w:val="Hyperlink"/>
          <w:rFonts w:ascii="Arial" w:hAnsi="Arial" w:cs="Arial"/>
          <w:i/>
          <w:color w:val="auto"/>
          <w:sz w:val="24"/>
          <w:szCs w:val="24"/>
          <w:u w:val="none"/>
          <w:lang w:val="en-CA"/>
        </w:rPr>
        <w:t xml:space="preserve">Negligence Act, </w:t>
      </w:r>
      <w:r>
        <w:rPr>
          <w:rStyle w:val="Hyperlink"/>
          <w:rFonts w:ascii="Arial" w:hAnsi="Arial" w:cs="Arial"/>
          <w:color w:val="auto"/>
          <w:sz w:val="24"/>
          <w:szCs w:val="24"/>
          <w:u w:val="none"/>
          <w:lang w:val="en-CA"/>
        </w:rPr>
        <w:t>and stated that the correct approach to the apportionment of liability where multiple torts and indivisible injuries are involved in one action is as follows:</w:t>
      </w:r>
    </w:p>
    <w:p w14:paraId="3B78B14A" w14:textId="77777777" w:rsidR="00996AE6" w:rsidRDefault="00996AE6" w:rsidP="00996AE6">
      <w:pPr>
        <w:spacing w:line="276" w:lineRule="auto"/>
        <w:jc w:val="both"/>
        <w:rPr>
          <w:rStyle w:val="Hyperlink"/>
          <w:rFonts w:ascii="Arial" w:hAnsi="Arial" w:cs="Arial"/>
          <w:color w:val="auto"/>
          <w:sz w:val="24"/>
          <w:szCs w:val="24"/>
          <w:u w:val="none"/>
          <w:lang w:val="en-CA"/>
        </w:rPr>
      </w:pPr>
    </w:p>
    <w:p w14:paraId="20363CD3" w14:textId="77777777" w:rsidR="00996AE6" w:rsidRDefault="00996AE6" w:rsidP="00996AE6">
      <w:pPr>
        <w:spacing w:line="276" w:lineRule="auto"/>
        <w:ind w:left="720" w:right="720"/>
        <w:jc w:val="both"/>
        <w:rPr>
          <w:rStyle w:val="Hyperlink"/>
          <w:rFonts w:ascii="Arial" w:hAnsi="Arial" w:cs="Arial"/>
          <w:i/>
          <w:color w:val="auto"/>
          <w:szCs w:val="24"/>
          <w:u w:val="none"/>
          <w:lang w:val="en-CA"/>
        </w:rPr>
      </w:pPr>
      <w:r w:rsidRPr="00915B05">
        <w:rPr>
          <w:rStyle w:val="Hyperlink"/>
          <w:rFonts w:ascii="Arial" w:hAnsi="Arial" w:cs="Arial"/>
          <w:i/>
          <w:color w:val="auto"/>
          <w:szCs w:val="24"/>
          <w:u w:val="none"/>
          <w:lang w:val="en-CA"/>
        </w:rPr>
        <w:t>[46]      Where, as here, damages are caused by one tort and a second tort acts in combination with the first to cause further injury and indivisible damages, it is necessary to allocate fault twice: once for the damages attributable to the first accident and arising in the interval before exacerbation, and then globally, for the indivisible damages. The trial judge was properly concerned that the allocation of “findings in the successive accident could disturb the findings of fact (fault) in the initial accident” (at para. 27). To that end, the separate assessment of fault in relation to the first accident must be consistent with the expression of fault as a percentage of total fault in relation to the indivisible injury. However, that concern does not justify or necessitate apportionment on any basis other than blameworthiness.</w:t>
      </w:r>
    </w:p>
    <w:p w14:paraId="5BC8356E" w14:textId="77777777" w:rsidR="00996AE6" w:rsidRDefault="00996AE6" w:rsidP="00996AE6">
      <w:pPr>
        <w:spacing w:line="276" w:lineRule="auto"/>
        <w:ind w:right="720"/>
        <w:jc w:val="both"/>
        <w:rPr>
          <w:rStyle w:val="Hyperlink"/>
          <w:rFonts w:ascii="Arial" w:hAnsi="Arial" w:cs="Arial"/>
          <w:color w:val="auto"/>
          <w:sz w:val="24"/>
          <w:szCs w:val="24"/>
          <w:u w:val="none"/>
          <w:lang w:val="en-CA"/>
        </w:rPr>
      </w:pPr>
    </w:p>
    <w:p w14:paraId="2AB6A171" w14:textId="4D3C3896" w:rsidR="00996AE6" w:rsidRPr="005F0942" w:rsidRDefault="00996AE6" w:rsidP="00EF10C2">
      <w:pPr>
        <w:pStyle w:val="ListParagraph"/>
        <w:numPr>
          <w:ilvl w:val="0"/>
          <w:numId w:val="23"/>
        </w:numPr>
        <w:tabs>
          <w:tab w:val="left" w:pos="1080"/>
        </w:tabs>
        <w:spacing w:line="276" w:lineRule="auto"/>
        <w:ind w:left="360" w:right="720"/>
        <w:jc w:val="both"/>
        <w:rPr>
          <w:rStyle w:val="Hyperlink"/>
          <w:rFonts w:ascii="Arial" w:hAnsi="Arial" w:cs="Arial"/>
          <w:color w:val="auto"/>
          <w:sz w:val="24"/>
          <w:szCs w:val="24"/>
          <w:u w:val="none"/>
          <w:lang w:val="en-CA"/>
        </w:rPr>
      </w:pPr>
      <w:r w:rsidRPr="005F0942">
        <w:rPr>
          <w:rStyle w:val="Hyperlink"/>
          <w:rFonts w:ascii="Arial" w:hAnsi="Arial" w:cs="Arial"/>
          <w:color w:val="auto"/>
          <w:sz w:val="24"/>
          <w:szCs w:val="24"/>
          <w:u w:val="none"/>
          <w:lang w:val="en-CA"/>
        </w:rPr>
        <w:t xml:space="preserve">In paras. 50 &amp; 51, Wilcock J.A. stated laid out the proper approach under the “blameworthiness approach” that is to be undertaken when apportioning liability under the </w:t>
      </w:r>
      <w:r w:rsidRPr="005F0942">
        <w:rPr>
          <w:rStyle w:val="Hyperlink"/>
          <w:rFonts w:ascii="Arial" w:hAnsi="Arial" w:cs="Arial"/>
          <w:i/>
          <w:color w:val="auto"/>
          <w:sz w:val="24"/>
          <w:szCs w:val="24"/>
          <w:u w:val="none"/>
          <w:lang w:val="en-CA"/>
        </w:rPr>
        <w:t>Negligence Act</w:t>
      </w:r>
      <w:r w:rsidRPr="005F0942">
        <w:rPr>
          <w:rStyle w:val="Hyperlink"/>
          <w:rFonts w:ascii="Arial" w:hAnsi="Arial" w:cs="Arial"/>
          <w:color w:val="auto"/>
          <w:sz w:val="24"/>
          <w:szCs w:val="24"/>
          <w:u w:val="none"/>
          <w:lang w:val="en-CA"/>
        </w:rPr>
        <w:t>:</w:t>
      </w:r>
    </w:p>
    <w:p w14:paraId="3B5C35C8" w14:textId="77777777" w:rsidR="00996AE6" w:rsidRPr="005F0942" w:rsidRDefault="00996AE6" w:rsidP="00996AE6">
      <w:pPr>
        <w:tabs>
          <w:tab w:val="left" w:pos="1080"/>
        </w:tabs>
        <w:spacing w:line="276" w:lineRule="auto"/>
        <w:ind w:right="720"/>
        <w:jc w:val="both"/>
        <w:rPr>
          <w:rStyle w:val="Hyperlink"/>
          <w:rFonts w:ascii="Arial" w:hAnsi="Arial" w:cs="Arial"/>
          <w:color w:val="auto"/>
          <w:sz w:val="24"/>
          <w:szCs w:val="24"/>
          <w:u w:val="none"/>
          <w:lang w:val="en-CA"/>
        </w:rPr>
      </w:pPr>
    </w:p>
    <w:p w14:paraId="5B88094E" w14:textId="77777777" w:rsidR="00996AE6" w:rsidRPr="005F0942" w:rsidRDefault="00996AE6" w:rsidP="00996AE6">
      <w:pPr>
        <w:tabs>
          <w:tab w:val="left" w:pos="1080"/>
        </w:tabs>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 xml:space="preserve">[50]      The “blameworthiness approach” is exemplified by the judgment in </w:t>
      </w:r>
      <w:proofErr w:type="spellStart"/>
      <w:r w:rsidRPr="005F0942">
        <w:rPr>
          <w:rStyle w:val="Hyperlink"/>
          <w:rFonts w:ascii="Arial" w:hAnsi="Arial" w:cs="Arial"/>
          <w:i/>
          <w:color w:val="auto"/>
          <w:szCs w:val="24"/>
          <w:u w:val="none"/>
          <w:lang w:val="en-CA"/>
        </w:rPr>
        <w:t>Bilanik</w:t>
      </w:r>
      <w:proofErr w:type="spellEnd"/>
      <w:r w:rsidRPr="005F0942">
        <w:rPr>
          <w:rStyle w:val="Hyperlink"/>
          <w:rFonts w:ascii="Arial" w:hAnsi="Arial" w:cs="Arial"/>
          <w:i/>
          <w:color w:val="auto"/>
          <w:szCs w:val="24"/>
          <w:u w:val="none"/>
          <w:lang w:val="en-CA"/>
        </w:rPr>
        <w:t xml:space="preserve"> v. Ferman, </w:t>
      </w:r>
      <w:hyperlink r:id="rId57" w:history="1">
        <w:r w:rsidRPr="005F0942">
          <w:rPr>
            <w:rStyle w:val="Hyperlink"/>
            <w:rFonts w:ascii="Arial" w:hAnsi="Arial" w:cs="Arial"/>
            <w:i/>
            <w:szCs w:val="24"/>
            <w:lang w:val="en-CA"/>
          </w:rPr>
          <w:t>2014 BCSC 732</w:t>
        </w:r>
      </w:hyperlink>
      <w:r w:rsidRPr="005F0942">
        <w:rPr>
          <w:rStyle w:val="Hyperlink"/>
          <w:rFonts w:ascii="Arial" w:hAnsi="Arial" w:cs="Arial"/>
          <w:i/>
          <w:color w:val="auto"/>
          <w:szCs w:val="24"/>
          <w:u w:val="none"/>
          <w:lang w:val="en-CA"/>
        </w:rPr>
        <w:t>. In that case, the plaintiff was injured in two motor vehicle accidents. The first was caused solely by the negligence of the defendant; liability for the second was apportioned: 20% to the plaintiff and 80% to the defendant. The plaintiff suffered injury that was found to be indivisible. The case is on all fours with the case at bar insofar as the injury was the result of two accidents, one of which was contributed to by the negligence of the plaintiff. The trial judge held:</w:t>
      </w:r>
    </w:p>
    <w:p w14:paraId="0CD9D266" w14:textId="77777777" w:rsidR="00996AE6" w:rsidRPr="005F0942" w:rsidRDefault="00996AE6" w:rsidP="00996AE6">
      <w:pPr>
        <w:tabs>
          <w:tab w:val="left" w:pos="1080"/>
        </w:tabs>
        <w:spacing w:line="276" w:lineRule="auto"/>
        <w:ind w:left="720" w:right="1440"/>
        <w:jc w:val="both"/>
        <w:rPr>
          <w:rStyle w:val="Hyperlink"/>
          <w:rFonts w:ascii="Arial" w:hAnsi="Arial" w:cs="Arial"/>
          <w:i/>
          <w:color w:val="auto"/>
          <w:szCs w:val="24"/>
          <w:u w:val="none"/>
          <w:lang w:val="en-CA"/>
        </w:rPr>
      </w:pPr>
    </w:p>
    <w:p w14:paraId="1B695D76" w14:textId="77777777" w:rsidR="00996AE6" w:rsidRPr="005F0942" w:rsidRDefault="00996AE6" w:rsidP="00996AE6">
      <w:pPr>
        <w:tabs>
          <w:tab w:val="left" w:pos="1080"/>
        </w:tabs>
        <w:spacing w:line="276" w:lineRule="auto"/>
        <w:ind w:left="1440" w:right="207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 xml:space="preserve">[175]        In this case, the injuries are indivisible and the global assessment of damages at $60,000 stands. Long v. Thiessen has no application here. Hence, </w:t>
      </w:r>
      <w:r w:rsidRPr="005F0942">
        <w:rPr>
          <w:rStyle w:val="Hyperlink"/>
          <w:rFonts w:ascii="Arial" w:hAnsi="Arial" w:cs="Arial"/>
          <w:i/>
          <w:color w:val="auto"/>
          <w:szCs w:val="24"/>
          <w:lang w:val="en-CA"/>
        </w:rPr>
        <w:t>the necessary inquiry is to determine the degree of fault of each of [the tortfeasors] and the plaintiff in respect of her indivisible injury based on the extent to which each party departed from the standard of care owed in the circumstances</w:t>
      </w:r>
      <w:r w:rsidRPr="005F0942">
        <w:rPr>
          <w:rStyle w:val="Hyperlink"/>
          <w:rFonts w:ascii="Arial" w:hAnsi="Arial" w:cs="Arial"/>
          <w:i/>
          <w:color w:val="auto"/>
          <w:szCs w:val="24"/>
          <w:u w:val="none"/>
          <w:lang w:val="en-CA"/>
        </w:rPr>
        <w:t>. The defendants are not jointly liable for the global assessment of damages.</w:t>
      </w:r>
    </w:p>
    <w:p w14:paraId="34333981" w14:textId="77777777" w:rsidR="00996AE6" w:rsidRPr="005F0942" w:rsidRDefault="00996AE6" w:rsidP="00996AE6">
      <w:pPr>
        <w:tabs>
          <w:tab w:val="left" w:pos="1080"/>
        </w:tabs>
        <w:spacing w:line="276" w:lineRule="auto"/>
        <w:ind w:left="1440" w:right="2070"/>
        <w:jc w:val="both"/>
        <w:rPr>
          <w:rStyle w:val="Hyperlink"/>
          <w:rFonts w:ascii="Arial" w:hAnsi="Arial" w:cs="Arial"/>
          <w:i/>
          <w:color w:val="auto"/>
          <w:szCs w:val="24"/>
          <w:u w:val="none"/>
          <w:lang w:val="en-CA"/>
        </w:rPr>
      </w:pPr>
    </w:p>
    <w:p w14:paraId="2C31E833" w14:textId="77777777" w:rsidR="00996AE6" w:rsidRPr="005F0942" w:rsidRDefault="00996AE6" w:rsidP="00996AE6">
      <w:pPr>
        <w:tabs>
          <w:tab w:val="left" w:pos="1080"/>
        </w:tabs>
        <w:spacing w:line="276" w:lineRule="auto"/>
        <w:ind w:left="1440" w:right="207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 xml:space="preserve">[176]        The first accident was undoubtedly less severe than the second accident. [The first tortfeasor] showed a minor lapse of care in conduct. The plaintiff appeared on the road to recovery prior to the August 11, 2008 accident. [The second tortfeasor] showed a more major lapse of care in his conduct, showing a disregard for the safety of others. The plaintiff’s symptoms from the May accident not only returned but worsened as a result of it. The major residual complaint that the plaintiff has today - headaches - arose from the August 2008 accident. </w:t>
      </w:r>
      <w:r w:rsidRPr="005F0942">
        <w:rPr>
          <w:rStyle w:val="Hyperlink"/>
          <w:rFonts w:ascii="Arial" w:hAnsi="Arial" w:cs="Arial"/>
          <w:i/>
          <w:color w:val="auto"/>
          <w:szCs w:val="24"/>
          <w:lang w:val="en-CA"/>
        </w:rPr>
        <w:t>The plaintiff, found to be 20% liable for causing the second accident, is in my view, less blameworthy in terms of her departure from the standard of care owed in the circumstances. Her lapse of care in conduct was minor, comparatively.</w:t>
      </w:r>
    </w:p>
    <w:p w14:paraId="11A5BA4E" w14:textId="77777777" w:rsidR="00996AE6" w:rsidRPr="005F0942" w:rsidRDefault="00996AE6" w:rsidP="00996AE6">
      <w:pPr>
        <w:tabs>
          <w:tab w:val="left" w:pos="1080"/>
        </w:tabs>
        <w:spacing w:line="276" w:lineRule="auto"/>
        <w:ind w:left="720" w:right="144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ab/>
      </w:r>
      <w:r w:rsidRPr="005F0942">
        <w:rPr>
          <w:rStyle w:val="Hyperlink"/>
          <w:rFonts w:ascii="Arial" w:hAnsi="Arial" w:cs="Arial"/>
          <w:i/>
          <w:color w:val="auto"/>
          <w:szCs w:val="24"/>
          <w:u w:val="none"/>
          <w:lang w:val="en-CA"/>
        </w:rPr>
        <w:tab/>
        <w:t>[Emphasis added.]</w:t>
      </w:r>
    </w:p>
    <w:p w14:paraId="1DE90AA5" w14:textId="77777777" w:rsidR="00996AE6" w:rsidRPr="005F0942" w:rsidRDefault="00996AE6" w:rsidP="00996AE6">
      <w:pPr>
        <w:tabs>
          <w:tab w:val="left" w:pos="1080"/>
        </w:tabs>
        <w:spacing w:line="276" w:lineRule="auto"/>
        <w:ind w:left="720" w:right="1440"/>
        <w:jc w:val="both"/>
        <w:rPr>
          <w:rStyle w:val="Hyperlink"/>
          <w:rFonts w:ascii="Arial" w:hAnsi="Arial" w:cs="Arial"/>
          <w:i/>
          <w:color w:val="auto"/>
          <w:szCs w:val="24"/>
          <w:u w:val="none"/>
          <w:lang w:val="en-CA"/>
        </w:rPr>
      </w:pPr>
    </w:p>
    <w:p w14:paraId="104A1A49" w14:textId="77777777" w:rsidR="00996AE6" w:rsidRPr="005F0942" w:rsidRDefault="00996AE6" w:rsidP="00996AE6">
      <w:pPr>
        <w:tabs>
          <w:tab w:val="left" w:pos="1080"/>
        </w:tabs>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 xml:space="preserve">[51]      In Lane v. Wahl, </w:t>
      </w:r>
      <w:hyperlink r:id="rId58" w:history="1">
        <w:r w:rsidRPr="005F0942">
          <w:rPr>
            <w:rStyle w:val="Hyperlink"/>
            <w:rFonts w:ascii="Arial" w:hAnsi="Arial" w:cs="Arial"/>
            <w:i/>
            <w:szCs w:val="24"/>
            <w:u w:val="none"/>
            <w:lang w:val="en-CA"/>
          </w:rPr>
          <w:t>2015 BCSC 1779</w:t>
        </w:r>
      </w:hyperlink>
      <w:r w:rsidRPr="005F0942">
        <w:rPr>
          <w:rStyle w:val="Hyperlink"/>
          <w:rFonts w:ascii="Arial" w:hAnsi="Arial" w:cs="Arial"/>
          <w:i/>
          <w:color w:val="auto"/>
          <w:szCs w:val="24"/>
          <w:u w:val="none"/>
          <w:lang w:val="en-CA"/>
        </w:rPr>
        <w:t xml:space="preserve">, the plaintiff sued for damages arising from injuries suffered in a series of three accidents. He was found to be solely responsible for the second. He suffered depression as a result of the cumulative effect of injuries suffered in the second and third accidents. The trial judge adopted the analysis in </w:t>
      </w:r>
      <w:proofErr w:type="spellStart"/>
      <w:r w:rsidRPr="005F0942">
        <w:rPr>
          <w:rStyle w:val="Hyperlink"/>
          <w:rFonts w:ascii="Arial" w:hAnsi="Arial" w:cs="Arial"/>
          <w:i/>
          <w:color w:val="auto"/>
          <w:szCs w:val="24"/>
          <w:u w:val="none"/>
          <w:lang w:val="en-CA"/>
        </w:rPr>
        <w:t>Bilanik</w:t>
      </w:r>
      <w:proofErr w:type="spellEnd"/>
      <w:r w:rsidRPr="005F0942">
        <w:rPr>
          <w:rStyle w:val="Hyperlink"/>
          <w:rFonts w:ascii="Arial" w:hAnsi="Arial" w:cs="Arial"/>
          <w:i/>
          <w:color w:val="auto"/>
          <w:szCs w:val="24"/>
          <w:u w:val="none"/>
          <w:lang w:val="en-CA"/>
        </w:rPr>
        <w:t>, holding:</w:t>
      </w:r>
    </w:p>
    <w:p w14:paraId="05DF1ACB" w14:textId="77777777" w:rsidR="00996AE6" w:rsidRPr="005F0942" w:rsidRDefault="00996AE6" w:rsidP="00996AE6">
      <w:pPr>
        <w:tabs>
          <w:tab w:val="left" w:pos="1080"/>
        </w:tabs>
        <w:spacing w:line="276" w:lineRule="auto"/>
        <w:ind w:left="720" w:right="1440"/>
        <w:jc w:val="both"/>
        <w:rPr>
          <w:rStyle w:val="Hyperlink"/>
          <w:rFonts w:ascii="Arial" w:hAnsi="Arial" w:cs="Arial"/>
          <w:i/>
          <w:color w:val="auto"/>
          <w:szCs w:val="24"/>
          <w:u w:val="none"/>
          <w:lang w:val="en-CA"/>
        </w:rPr>
      </w:pPr>
    </w:p>
    <w:p w14:paraId="5B13A108" w14:textId="77777777" w:rsidR="00996AE6" w:rsidRPr="005F0942" w:rsidRDefault="00996AE6" w:rsidP="00996AE6">
      <w:pPr>
        <w:tabs>
          <w:tab w:val="left" w:pos="1080"/>
        </w:tabs>
        <w:spacing w:line="276" w:lineRule="auto"/>
        <w:ind w:left="1440" w:right="216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[84]            The law is clear that apportionment of liability under the Negligence Act, R.S.B.C. 1996, c. 333, should be based on the relative fault of the persons responsible for the damage as opposed to the degree to which they are found to be responsible for the injuries [citing Alberta Wheat Pool v. Northwest Pile, 2000 BCCA 505: [which, in turn relied upon the judgment in Cempel v. Harrison Hot Springs Hotel Ltd. (1997), 1997 CanLII 2374 (BC CA), 43 B.C.L.R. (3d) 219 (C.A.)].</w:t>
      </w:r>
    </w:p>
    <w:p w14:paraId="1B158E18" w14:textId="77777777" w:rsidR="00996AE6" w:rsidRPr="005F0942" w:rsidRDefault="00996AE6" w:rsidP="00996AE6">
      <w:pPr>
        <w:tabs>
          <w:tab w:val="left" w:pos="1080"/>
        </w:tabs>
        <w:spacing w:line="276" w:lineRule="auto"/>
        <w:ind w:left="1440" w:right="2160"/>
        <w:jc w:val="center"/>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w:t>
      </w:r>
    </w:p>
    <w:p w14:paraId="24F8EE8F" w14:textId="77777777" w:rsidR="00996AE6" w:rsidRPr="005F0942" w:rsidRDefault="00996AE6" w:rsidP="00996AE6">
      <w:pPr>
        <w:tabs>
          <w:tab w:val="left" w:pos="1080"/>
        </w:tabs>
        <w:spacing w:line="276" w:lineRule="auto"/>
        <w:ind w:left="1440" w:right="2160"/>
        <w:jc w:val="center"/>
        <w:rPr>
          <w:rStyle w:val="Hyperlink"/>
          <w:rFonts w:ascii="Arial" w:hAnsi="Arial" w:cs="Arial"/>
          <w:i/>
          <w:color w:val="auto"/>
          <w:szCs w:val="24"/>
          <w:u w:val="none"/>
          <w:lang w:val="en-CA"/>
        </w:rPr>
      </w:pPr>
    </w:p>
    <w:p w14:paraId="7CE4B47E" w14:textId="77777777" w:rsidR="00996AE6" w:rsidRPr="005F0942" w:rsidRDefault="00996AE6" w:rsidP="00996AE6">
      <w:pPr>
        <w:tabs>
          <w:tab w:val="left" w:pos="1080"/>
        </w:tabs>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 xml:space="preserve">[62]      Similarly, in Lane v. Ou, </w:t>
      </w:r>
      <w:hyperlink r:id="rId59" w:history="1">
        <w:r w:rsidRPr="005F0942">
          <w:rPr>
            <w:rStyle w:val="Hyperlink"/>
            <w:rFonts w:ascii="Arial" w:hAnsi="Arial" w:cs="Arial"/>
            <w:szCs w:val="24"/>
            <w:u w:val="none"/>
            <w:lang w:val="en-CA"/>
          </w:rPr>
          <w:t>[2019 BCSC 928]</w:t>
        </w:r>
      </w:hyperlink>
      <w:r w:rsidRPr="005F0942">
        <w:rPr>
          <w:rStyle w:val="Hyperlink"/>
          <w:rFonts w:ascii="Arial" w:hAnsi="Arial" w:cs="Arial"/>
          <w:i/>
          <w:color w:val="auto"/>
          <w:szCs w:val="24"/>
          <w:u w:val="none"/>
          <w:lang w:val="en-CA"/>
        </w:rPr>
        <w:t>, the plaintiff suffered an indivisible injury as a result of two accidents, the first of which was entirely his fault and the second of which was entirely the fault of the defendant. In a judgment that deals primarily with assessment of damages but does so in the language of apportionment, the judge began by noting that the defendant need not compensate the plaintiff for what she referred to as “non</w:t>
      </w:r>
      <w:r w:rsidRPr="005F0942">
        <w:rPr>
          <w:rStyle w:val="Hyperlink"/>
          <w:rFonts w:ascii="Cambria Math" w:hAnsi="Cambria Math" w:cs="Cambria Math"/>
          <w:i/>
          <w:color w:val="auto"/>
          <w:szCs w:val="24"/>
          <w:u w:val="none"/>
          <w:lang w:val="en-CA"/>
        </w:rPr>
        <w:t>‑</w:t>
      </w:r>
      <w:r w:rsidRPr="005F0942">
        <w:rPr>
          <w:rStyle w:val="Hyperlink"/>
          <w:rFonts w:ascii="Arial" w:hAnsi="Arial" w:cs="Arial"/>
          <w:i/>
          <w:color w:val="auto"/>
          <w:szCs w:val="24"/>
          <w:u w:val="none"/>
          <w:lang w:val="en-CA"/>
        </w:rPr>
        <w:t>compensable pre</w:t>
      </w:r>
      <w:r w:rsidRPr="005F0942">
        <w:rPr>
          <w:rStyle w:val="Hyperlink"/>
          <w:rFonts w:ascii="Cambria Math" w:hAnsi="Cambria Math" w:cs="Cambria Math"/>
          <w:i/>
          <w:color w:val="auto"/>
          <w:szCs w:val="24"/>
          <w:u w:val="none"/>
          <w:lang w:val="en-CA"/>
        </w:rPr>
        <w:t>‑</w:t>
      </w:r>
      <w:r w:rsidRPr="005F0942">
        <w:rPr>
          <w:rStyle w:val="Hyperlink"/>
          <w:rFonts w:ascii="Arial" w:hAnsi="Arial" w:cs="Arial"/>
          <w:i/>
          <w:color w:val="auto"/>
          <w:szCs w:val="24"/>
          <w:u w:val="none"/>
          <w:lang w:val="en-CA"/>
        </w:rPr>
        <w:t xml:space="preserve">existing damage” (at para. 165). In doing so, she cited a passage from the judgment in Blackwater dealing with </w:t>
      </w:r>
      <w:r w:rsidRPr="005F0942">
        <w:rPr>
          <w:rStyle w:val="Hyperlink"/>
          <w:rFonts w:ascii="Arial" w:hAnsi="Arial" w:cs="Arial"/>
          <w:i/>
          <w:color w:val="auto"/>
          <w:szCs w:val="24"/>
          <w:lang w:val="en-CA"/>
        </w:rPr>
        <w:t>the assessment of damages</w:t>
      </w:r>
      <w:r w:rsidRPr="005F0942">
        <w:rPr>
          <w:rStyle w:val="Hyperlink"/>
          <w:rFonts w:ascii="Arial" w:hAnsi="Arial" w:cs="Arial"/>
          <w:i/>
          <w:color w:val="auto"/>
          <w:szCs w:val="24"/>
          <w:u w:val="none"/>
          <w:lang w:val="en-CA"/>
        </w:rPr>
        <w:t xml:space="preserve">, after the task of apportionment had been completed. The trial judge referred to </w:t>
      </w:r>
      <w:proofErr w:type="spellStart"/>
      <w:r w:rsidRPr="005F0942">
        <w:rPr>
          <w:rStyle w:val="Hyperlink"/>
          <w:rFonts w:ascii="Arial" w:hAnsi="Arial" w:cs="Arial"/>
          <w:i/>
          <w:color w:val="auto"/>
          <w:szCs w:val="24"/>
          <w:u w:val="none"/>
          <w:lang w:val="en-CA"/>
        </w:rPr>
        <w:t>Demidas</w:t>
      </w:r>
      <w:proofErr w:type="spellEnd"/>
      <w:r w:rsidRPr="005F0942">
        <w:rPr>
          <w:rStyle w:val="Hyperlink"/>
          <w:rFonts w:ascii="Arial" w:hAnsi="Arial" w:cs="Arial"/>
          <w:i/>
          <w:color w:val="auto"/>
          <w:szCs w:val="24"/>
          <w:u w:val="none"/>
          <w:lang w:val="en-CA"/>
        </w:rPr>
        <w:t xml:space="preserve"> and </w:t>
      </w:r>
      <w:proofErr w:type="spellStart"/>
      <w:r w:rsidRPr="005F0942">
        <w:rPr>
          <w:rStyle w:val="Hyperlink"/>
          <w:rFonts w:ascii="Arial" w:hAnsi="Arial" w:cs="Arial"/>
          <w:i/>
          <w:color w:val="auto"/>
          <w:szCs w:val="24"/>
          <w:u w:val="none"/>
          <w:lang w:val="en-CA"/>
        </w:rPr>
        <w:t>Blenkarn</w:t>
      </w:r>
      <w:proofErr w:type="spellEnd"/>
      <w:r w:rsidRPr="005F0942">
        <w:rPr>
          <w:rStyle w:val="Hyperlink"/>
          <w:rFonts w:ascii="Arial" w:hAnsi="Arial" w:cs="Arial"/>
          <w:i/>
          <w:color w:val="auto"/>
          <w:szCs w:val="24"/>
          <w:u w:val="none"/>
          <w:lang w:val="en-CA"/>
        </w:rPr>
        <w:t xml:space="preserve"> as cases in which the plaintiff had suffered indivisible injuries in sequential accidents, where the loss and damage from “at fault accidents” was considered and then “removed” from the overall award so that the defendants were not liable for that amount.</w:t>
      </w:r>
    </w:p>
    <w:p w14:paraId="6CED5017" w14:textId="77777777" w:rsidR="00996AE6" w:rsidRPr="005F0942" w:rsidRDefault="00996AE6" w:rsidP="00996AE6">
      <w:pPr>
        <w:tabs>
          <w:tab w:val="left" w:pos="1080"/>
        </w:tabs>
        <w:spacing w:line="276" w:lineRule="auto"/>
        <w:ind w:left="720" w:right="720"/>
        <w:jc w:val="center"/>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w:t>
      </w:r>
    </w:p>
    <w:p w14:paraId="6726682E" w14:textId="77777777" w:rsidR="00996AE6" w:rsidRPr="005F0942" w:rsidRDefault="00996AE6" w:rsidP="00996AE6">
      <w:pPr>
        <w:tabs>
          <w:tab w:val="left" w:pos="1080"/>
        </w:tabs>
        <w:spacing w:line="276" w:lineRule="auto"/>
        <w:ind w:left="720" w:right="720"/>
        <w:jc w:val="center"/>
        <w:rPr>
          <w:rStyle w:val="Hyperlink"/>
          <w:rFonts w:ascii="Arial" w:hAnsi="Arial" w:cs="Arial"/>
          <w:i/>
          <w:color w:val="auto"/>
          <w:szCs w:val="24"/>
          <w:u w:val="none"/>
          <w:lang w:val="en-CA"/>
        </w:rPr>
      </w:pPr>
    </w:p>
    <w:p w14:paraId="4777A738" w14:textId="77777777" w:rsidR="00996AE6" w:rsidRPr="005F0942" w:rsidRDefault="00996AE6" w:rsidP="00996AE6">
      <w:pPr>
        <w:tabs>
          <w:tab w:val="left" w:pos="1080"/>
        </w:tabs>
        <w:spacing w:line="276" w:lineRule="auto"/>
        <w:ind w:left="720" w:right="720"/>
        <w:jc w:val="both"/>
        <w:rPr>
          <w:rStyle w:val="Hyperlink"/>
          <w:rFonts w:ascii="Arial" w:hAnsi="Arial" w:cs="Arial"/>
          <w:i/>
          <w:color w:val="auto"/>
          <w:szCs w:val="24"/>
          <w:u w:val="none"/>
          <w:lang w:val="en-CA"/>
        </w:rPr>
      </w:pPr>
      <w:r w:rsidRPr="005F0942">
        <w:rPr>
          <w:rStyle w:val="Hyperlink"/>
          <w:rFonts w:ascii="Arial" w:hAnsi="Arial" w:cs="Arial"/>
          <w:i/>
          <w:color w:val="auto"/>
          <w:szCs w:val="24"/>
          <w:u w:val="none"/>
          <w:lang w:val="en-CA"/>
        </w:rPr>
        <w:t xml:space="preserve">[78]      As I have noted above, it is arguable the approach in </w:t>
      </w:r>
      <w:proofErr w:type="spellStart"/>
      <w:r w:rsidRPr="005F0942">
        <w:rPr>
          <w:rStyle w:val="Hyperlink"/>
          <w:rFonts w:ascii="Arial" w:hAnsi="Arial" w:cs="Arial"/>
          <w:i/>
          <w:color w:val="auto"/>
          <w:szCs w:val="24"/>
          <w:u w:val="none"/>
          <w:lang w:val="en-CA"/>
        </w:rPr>
        <w:t>Bilanik</w:t>
      </w:r>
      <w:proofErr w:type="spellEnd"/>
      <w:r w:rsidRPr="005F0942">
        <w:rPr>
          <w:rStyle w:val="Hyperlink"/>
          <w:rFonts w:ascii="Arial" w:hAnsi="Arial" w:cs="Arial"/>
          <w:i/>
          <w:color w:val="auto"/>
          <w:szCs w:val="24"/>
          <w:u w:val="none"/>
          <w:lang w:val="en-CA"/>
        </w:rPr>
        <w:t xml:space="preserve"> and Lane v. Ou received the imprimatur of this Court on the Lane appeal. In my view, the outcome and logic in those cases are consistent with the principles of apportionment adopted in our legislation and if this Court did not say so in Lane, we should say so here.</w:t>
      </w:r>
    </w:p>
    <w:p w14:paraId="5456E882" w14:textId="77777777" w:rsidR="00996AE6" w:rsidRDefault="00996AE6" w:rsidP="00996AE6">
      <w:pPr>
        <w:tabs>
          <w:tab w:val="left" w:pos="1080"/>
        </w:tabs>
        <w:spacing w:line="276" w:lineRule="auto"/>
        <w:ind w:left="720" w:right="1440"/>
        <w:jc w:val="both"/>
        <w:rPr>
          <w:rStyle w:val="Hyperlink"/>
          <w:rFonts w:ascii="Arial" w:hAnsi="Arial" w:cs="Arial"/>
          <w:i/>
          <w:color w:val="auto"/>
          <w:szCs w:val="24"/>
          <w:u w:val="none"/>
          <w:lang w:val="en-CA"/>
        </w:rPr>
      </w:pPr>
    </w:p>
    <w:p w14:paraId="2522A2E9" w14:textId="498BAA0F" w:rsidR="00996AE6" w:rsidRDefault="00996AE6" w:rsidP="00EF10C2">
      <w:pPr>
        <w:pStyle w:val="ListParagraph"/>
        <w:numPr>
          <w:ilvl w:val="0"/>
          <w:numId w:val="23"/>
        </w:numPr>
        <w:tabs>
          <w:tab w:val="left" w:pos="1080"/>
        </w:tabs>
        <w:spacing w:line="276" w:lineRule="auto"/>
        <w:ind w:left="360" w:right="720"/>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Wilcock J.A. concluded that the law of apportionment is correctly described in </w:t>
      </w:r>
      <w:proofErr w:type="spellStart"/>
      <w:r>
        <w:rPr>
          <w:rStyle w:val="Hyperlink"/>
          <w:rFonts w:ascii="Arial" w:hAnsi="Arial" w:cs="Arial"/>
          <w:i/>
          <w:color w:val="auto"/>
          <w:sz w:val="24"/>
          <w:szCs w:val="24"/>
          <w:u w:val="none"/>
          <w:lang w:val="en-CA"/>
        </w:rPr>
        <w:t>Bilanik</w:t>
      </w:r>
      <w:proofErr w:type="spellEnd"/>
      <w:r>
        <w:rPr>
          <w:rStyle w:val="Hyperlink"/>
          <w:rFonts w:ascii="Arial" w:hAnsi="Arial" w:cs="Arial"/>
          <w:i/>
          <w:color w:val="auto"/>
          <w:sz w:val="24"/>
          <w:szCs w:val="24"/>
          <w:u w:val="none"/>
          <w:lang w:val="en-CA"/>
        </w:rPr>
        <w:t xml:space="preserve">, </w:t>
      </w:r>
      <w:r>
        <w:rPr>
          <w:rStyle w:val="Hyperlink"/>
          <w:rFonts w:ascii="Arial" w:hAnsi="Arial" w:cs="Arial"/>
          <w:color w:val="auto"/>
          <w:sz w:val="24"/>
          <w:szCs w:val="24"/>
          <w:u w:val="none"/>
          <w:lang w:val="en-CA"/>
        </w:rPr>
        <w:t>and at para. 82 concluded that:</w:t>
      </w:r>
    </w:p>
    <w:p w14:paraId="3CD09CC3" w14:textId="77777777" w:rsidR="00996AE6" w:rsidRDefault="00996AE6" w:rsidP="00996AE6">
      <w:pPr>
        <w:pStyle w:val="ListParagraph"/>
        <w:tabs>
          <w:tab w:val="left" w:pos="1080"/>
        </w:tabs>
        <w:spacing w:line="276" w:lineRule="auto"/>
        <w:ind w:left="360" w:right="720"/>
        <w:jc w:val="both"/>
        <w:rPr>
          <w:rStyle w:val="Hyperlink"/>
          <w:rFonts w:ascii="Arial" w:hAnsi="Arial" w:cs="Arial"/>
          <w:color w:val="auto"/>
          <w:sz w:val="24"/>
          <w:szCs w:val="24"/>
          <w:u w:val="none"/>
          <w:lang w:val="en-CA"/>
        </w:rPr>
      </w:pPr>
    </w:p>
    <w:p w14:paraId="2A1AAFB2" w14:textId="77777777" w:rsidR="00996AE6" w:rsidRPr="00E90A19" w:rsidRDefault="00996AE6" w:rsidP="00996AE6">
      <w:pPr>
        <w:tabs>
          <w:tab w:val="left" w:pos="1080"/>
        </w:tabs>
        <w:spacing w:line="276" w:lineRule="auto"/>
        <w:ind w:left="720" w:right="1440"/>
        <w:jc w:val="both"/>
        <w:rPr>
          <w:rStyle w:val="Hyperlink"/>
          <w:rFonts w:ascii="Arial" w:hAnsi="Arial" w:cs="Arial"/>
          <w:i/>
          <w:color w:val="auto"/>
          <w:szCs w:val="24"/>
          <w:u w:val="none"/>
          <w:lang w:val="en-CA"/>
        </w:rPr>
      </w:pPr>
      <w:r w:rsidRPr="00E90A19">
        <w:rPr>
          <w:rStyle w:val="Hyperlink"/>
          <w:rFonts w:ascii="Arial" w:hAnsi="Arial" w:cs="Arial"/>
          <w:i/>
          <w:color w:val="auto"/>
          <w:szCs w:val="24"/>
          <w:u w:val="none"/>
          <w:lang w:val="en-CA"/>
        </w:rPr>
        <w:t>Where a plaintiff suffers an indivisible injury as a result of several concurrent torts and his own contributory negligence, liability must be apportioned between those at fault in proportion to their degrees of fault.</w:t>
      </w:r>
    </w:p>
    <w:p w14:paraId="5CD304BF" w14:textId="77777777" w:rsidR="00996AE6" w:rsidRPr="00E90A19" w:rsidRDefault="00996AE6" w:rsidP="00996AE6">
      <w:pPr>
        <w:tabs>
          <w:tab w:val="left" w:pos="1080"/>
        </w:tabs>
        <w:spacing w:line="276" w:lineRule="auto"/>
        <w:ind w:right="720"/>
        <w:jc w:val="both"/>
        <w:rPr>
          <w:rStyle w:val="Hyperlink"/>
          <w:rFonts w:ascii="Arial" w:hAnsi="Arial" w:cs="Arial"/>
          <w:color w:val="auto"/>
          <w:sz w:val="24"/>
          <w:szCs w:val="24"/>
          <w:u w:val="none"/>
          <w:lang w:val="en-CA"/>
        </w:rPr>
      </w:pPr>
    </w:p>
    <w:p w14:paraId="51782A4D" w14:textId="186BA6E2" w:rsidR="009A2F9B" w:rsidRDefault="00996AE6" w:rsidP="009A2F9B">
      <w:pPr>
        <w:pStyle w:val="ListParagraph"/>
        <w:numPr>
          <w:ilvl w:val="0"/>
          <w:numId w:val="23"/>
        </w:numPr>
        <w:tabs>
          <w:tab w:val="left" w:pos="1080"/>
        </w:tabs>
        <w:spacing w:line="276" w:lineRule="auto"/>
        <w:ind w:left="360" w:right="720"/>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In applying the law of apportionment of blameworthiness to the case, Wilcock J.A. came to the conclusion the liability was to be apportioned at 25% each to Mr. </w:t>
      </w:r>
      <w:proofErr w:type="spellStart"/>
      <w:r>
        <w:rPr>
          <w:rStyle w:val="Hyperlink"/>
          <w:rFonts w:ascii="Arial" w:hAnsi="Arial" w:cs="Arial"/>
          <w:color w:val="auto"/>
          <w:sz w:val="24"/>
          <w:szCs w:val="24"/>
          <w:u w:val="none"/>
          <w:lang w:val="en-CA"/>
        </w:rPr>
        <w:t>Alragheb</w:t>
      </w:r>
      <w:proofErr w:type="spellEnd"/>
      <w:r>
        <w:rPr>
          <w:rStyle w:val="Hyperlink"/>
          <w:rFonts w:ascii="Arial" w:hAnsi="Arial" w:cs="Arial"/>
          <w:color w:val="auto"/>
          <w:sz w:val="24"/>
          <w:szCs w:val="24"/>
          <w:u w:val="none"/>
          <w:lang w:val="en-CA"/>
        </w:rPr>
        <w:t xml:space="preserve"> and Mr. Francis, and 50% to Ms. Gibbon. </w:t>
      </w:r>
    </w:p>
    <w:p w14:paraId="6464E569" w14:textId="53B66DAC" w:rsidR="009A2F9B" w:rsidRDefault="009A2F9B" w:rsidP="009A2F9B">
      <w:pPr>
        <w:pStyle w:val="ListParagraph"/>
        <w:tabs>
          <w:tab w:val="left" w:pos="1080"/>
        </w:tabs>
        <w:spacing w:line="276" w:lineRule="auto"/>
        <w:ind w:left="360" w:right="720"/>
        <w:jc w:val="both"/>
        <w:rPr>
          <w:rStyle w:val="Hyperlink"/>
          <w:rFonts w:ascii="Arial" w:hAnsi="Arial" w:cs="Arial"/>
          <w:color w:val="auto"/>
          <w:sz w:val="24"/>
          <w:szCs w:val="24"/>
          <w:u w:val="none"/>
          <w:lang w:val="en-CA"/>
        </w:rPr>
      </w:pPr>
    </w:p>
    <w:p w14:paraId="56C269BF" w14:textId="79979A29" w:rsidR="009A2F9B" w:rsidRPr="00C90492" w:rsidRDefault="009A2F9B" w:rsidP="009A2F9B">
      <w:pPr>
        <w:pStyle w:val="ListParagraph"/>
        <w:numPr>
          <w:ilvl w:val="0"/>
          <w:numId w:val="23"/>
        </w:numPr>
        <w:tabs>
          <w:tab w:val="left" w:pos="1080"/>
        </w:tabs>
        <w:spacing w:line="276" w:lineRule="auto"/>
        <w:ind w:left="360" w:right="720"/>
        <w:jc w:val="both"/>
        <w:rPr>
          <w:rFonts w:ascii="Arial" w:hAnsi="Arial" w:cs="Arial"/>
          <w:sz w:val="24"/>
          <w:szCs w:val="24"/>
          <w:lang w:val="en-CA"/>
        </w:rPr>
      </w:pPr>
      <w:r w:rsidRPr="00C90492">
        <w:rPr>
          <w:rFonts w:ascii="Arial" w:hAnsi="Arial" w:cs="Arial"/>
          <w:sz w:val="24"/>
          <w:szCs w:val="24"/>
          <w:lang w:val="en-CA"/>
        </w:rPr>
        <w:t xml:space="preserve">The BCSC in its recent decision in </w:t>
      </w:r>
      <w:r w:rsidRPr="00C90492">
        <w:rPr>
          <w:rFonts w:ascii="Arial" w:hAnsi="Arial" w:cs="Arial"/>
          <w:i/>
          <w:iCs/>
          <w:sz w:val="24"/>
          <w:szCs w:val="24"/>
          <w:lang w:val="en-CA"/>
        </w:rPr>
        <w:t>Lidder v Pearce</w:t>
      </w:r>
      <w:r w:rsidRPr="00C90492">
        <w:rPr>
          <w:rFonts w:ascii="Arial" w:hAnsi="Arial" w:cs="Arial"/>
          <w:sz w:val="24"/>
          <w:szCs w:val="24"/>
          <w:lang w:val="en-CA"/>
        </w:rPr>
        <w:t>, 2024 BCSC 2196(CanLII) endorsed this approach when apportioning liability and noted:</w:t>
      </w:r>
    </w:p>
    <w:p w14:paraId="7B5F989A" w14:textId="77777777" w:rsidR="009A2F9B" w:rsidRPr="00C90492" w:rsidRDefault="009A2F9B" w:rsidP="009A2F9B">
      <w:pPr>
        <w:pStyle w:val="ListParagraph"/>
        <w:rPr>
          <w:rFonts w:ascii="Arial" w:hAnsi="Arial" w:cs="Arial"/>
          <w:sz w:val="24"/>
          <w:szCs w:val="24"/>
          <w:lang w:val="en-CA"/>
        </w:rPr>
      </w:pPr>
    </w:p>
    <w:p w14:paraId="28A6FB30" w14:textId="7D0FEACC" w:rsidR="009A2F9B" w:rsidRPr="00C90492" w:rsidRDefault="009A2F9B" w:rsidP="009A2F9B">
      <w:pPr>
        <w:pStyle w:val="ListParagraph"/>
        <w:numPr>
          <w:ilvl w:val="0"/>
          <w:numId w:val="40"/>
        </w:numPr>
        <w:tabs>
          <w:tab w:val="left" w:pos="1080"/>
        </w:tabs>
        <w:spacing w:line="276" w:lineRule="auto"/>
        <w:ind w:right="720"/>
        <w:jc w:val="both"/>
        <w:rPr>
          <w:rFonts w:ascii="Arial" w:hAnsi="Arial" w:cs="Arial"/>
          <w:i/>
          <w:iCs/>
          <w:sz w:val="24"/>
          <w:szCs w:val="24"/>
          <w:lang w:val="en-CA"/>
        </w:rPr>
      </w:pPr>
      <w:r w:rsidRPr="00C90492">
        <w:rPr>
          <w:rFonts w:ascii="Arial" w:hAnsi="Arial" w:cs="Arial"/>
          <w:sz w:val="24"/>
          <w:szCs w:val="24"/>
          <w:lang w:val="en-CA"/>
        </w:rPr>
        <w:t>“</w:t>
      </w:r>
      <w:r w:rsidRPr="00C90492">
        <w:rPr>
          <w:rFonts w:ascii="Arial" w:hAnsi="Arial" w:cs="Arial"/>
          <w:i/>
          <w:iCs/>
          <w:sz w:val="24"/>
          <w:szCs w:val="24"/>
          <w:lang w:val="en-CA"/>
        </w:rPr>
        <w:t>If the plaintiff, Ms. Pearce, and Mr. Javed all departed equally from the standard of care, then the three of them should each bear responsibility for a third of the award. If Mr. Javed’s conduct was more or less blameworthy than that of the parties to the First Accident, then his share of the award should be increased or decreased as the case may be.”</w:t>
      </w:r>
    </w:p>
    <w:p w14:paraId="5EBF9500" w14:textId="77777777" w:rsidR="009A2F9B" w:rsidRPr="009A2F9B" w:rsidRDefault="009A2F9B" w:rsidP="009A2F9B">
      <w:pPr>
        <w:tabs>
          <w:tab w:val="left" w:pos="1080"/>
        </w:tabs>
        <w:spacing w:line="276" w:lineRule="auto"/>
        <w:ind w:right="720"/>
        <w:jc w:val="both"/>
        <w:rPr>
          <w:rFonts w:ascii="Arial" w:hAnsi="Arial" w:cs="Arial"/>
          <w:sz w:val="24"/>
          <w:szCs w:val="24"/>
          <w:lang w:val="en-CA"/>
        </w:rPr>
      </w:pPr>
    </w:p>
    <w:p w14:paraId="54A94D5B" w14:textId="77777777" w:rsidR="00485E20" w:rsidRPr="0019776A" w:rsidRDefault="00485E20" w:rsidP="00485E20">
      <w:pPr>
        <w:pStyle w:val="Default"/>
        <w:spacing w:after="200"/>
        <w:jc w:val="both"/>
        <w:rPr>
          <w:rStyle w:val="Hyperlink"/>
          <w:rFonts w:ascii="Arial" w:hAnsi="Arial" w:cs="Arial"/>
          <w:b/>
          <w:i/>
          <w:color w:val="auto"/>
          <w:u w:val="none"/>
          <w:lang w:val="en-CA"/>
        </w:rPr>
      </w:pPr>
      <w:r w:rsidRPr="0019776A">
        <w:rPr>
          <w:rStyle w:val="Hyperlink"/>
          <w:rFonts w:ascii="Arial" w:hAnsi="Arial" w:cs="Arial"/>
          <w:b/>
          <w:i/>
          <w:color w:val="auto"/>
          <w:u w:val="none"/>
          <w:lang w:val="en-CA"/>
        </w:rPr>
        <w:t>Joint and several liability</w:t>
      </w:r>
    </w:p>
    <w:p w14:paraId="7E09828F" w14:textId="77777777" w:rsidR="00485E20" w:rsidRPr="0019776A" w:rsidRDefault="00485E20" w:rsidP="00EF10C2">
      <w:pPr>
        <w:pStyle w:val="ListParagraph"/>
        <w:numPr>
          <w:ilvl w:val="0"/>
          <w:numId w:val="20"/>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Joint and several liability allows the innocent plaintiff to recover the entire claim for damages from one of several negligent defendants regardless of the degree of fault between the defendants.  The defendants should contribute and indemnify each other in the degree to which they are found to be at fault.  This scheme ensures that an injured plaintiff can collect from the most solvent defendant and gives the paying defendant the right to pursue the other liable defendants for their proportionate contributions. </w:t>
      </w:r>
    </w:p>
    <w:p w14:paraId="4DE2945F" w14:textId="77777777" w:rsidR="00485E20" w:rsidRPr="0019776A" w:rsidRDefault="00485E20" w:rsidP="00485E20">
      <w:pPr>
        <w:pStyle w:val="ListParagraph"/>
        <w:ind w:left="360"/>
        <w:jc w:val="both"/>
        <w:rPr>
          <w:rFonts w:ascii="Arial" w:hAnsi="Arial" w:cs="Arial"/>
          <w:sz w:val="24"/>
          <w:szCs w:val="24"/>
          <w:lang w:val="en-CA"/>
        </w:rPr>
      </w:pPr>
    </w:p>
    <w:p w14:paraId="0862D40F" w14:textId="77777777" w:rsidR="00485E20" w:rsidRPr="0019776A" w:rsidRDefault="00485E20" w:rsidP="00EF10C2">
      <w:pPr>
        <w:pStyle w:val="ListParagraph"/>
        <w:numPr>
          <w:ilvl w:val="0"/>
          <w:numId w:val="20"/>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Joint and several liability arises in circumstances where there are joint torts or independent torts that combine to cause a single indivisible injury.  </w:t>
      </w:r>
    </w:p>
    <w:p w14:paraId="526E0B3B" w14:textId="77777777" w:rsidR="00485E20" w:rsidRPr="0019776A" w:rsidRDefault="00485E20" w:rsidP="00485E20">
      <w:pPr>
        <w:pStyle w:val="ListParagraph"/>
        <w:ind w:left="360"/>
        <w:jc w:val="both"/>
        <w:rPr>
          <w:rFonts w:ascii="Arial" w:hAnsi="Arial" w:cs="Arial"/>
          <w:sz w:val="24"/>
          <w:szCs w:val="24"/>
          <w:lang w:val="en-CA"/>
        </w:rPr>
      </w:pPr>
    </w:p>
    <w:p w14:paraId="62B1B0B8" w14:textId="77777777" w:rsidR="00485E20" w:rsidRPr="0019776A" w:rsidRDefault="00485E20" w:rsidP="00EF10C2">
      <w:pPr>
        <w:pStyle w:val="ListParagraph"/>
        <w:numPr>
          <w:ilvl w:val="0"/>
          <w:numId w:val="20"/>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Example 1 – The plaintiff is struck by a vehicle driven by an intoxicated driver (defendant 1), who was served an excessive amount of alcohol in a tavern (defendant 2).   Defendants 1 and 2 may be held jointly and severally liable for the plaintiff’s injuries. If the plaintiff’s claim is 1M and defendant 1 is 90% at fault and defendant 2 is 10% at fault, the plaintiff may recover the full damages from either of the defendants. </w:t>
      </w:r>
    </w:p>
    <w:p w14:paraId="55D57E53" w14:textId="77777777" w:rsidR="00485E20" w:rsidRPr="0019776A" w:rsidRDefault="00485E20" w:rsidP="00485E20">
      <w:pPr>
        <w:pStyle w:val="ListParagraph"/>
        <w:jc w:val="both"/>
        <w:rPr>
          <w:rFonts w:ascii="Arial" w:hAnsi="Arial" w:cs="Arial"/>
          <w:sz w:val="24"/>
          <w:szCs w:val="24"/>
          <w:lang w:val="en-CA"/>
        </w:rPr>
      </w:pPr>
    </w:p>
    <w:p w14:paraId="7A5C1D2D" w14:textId="77777777" w:rsidR="00485E20" w:rsidRPr="0019776A" w:rsidRDefault="00485E20" w:rsidP="00EF10C2">
      <w:pPr>
        <w:pStyle w:val="ListParagraph"/>
        <w:numPr>
          <w:ilvl w:val="0"/>
          <w:numId w:val="20"/>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Example 2 – Defendant 1 injuries the plaintiff in a motor vehicle accident causing soft tissue injuries.  Defendant 2 injuries the plaintiff in a second motor vehicle accident causing a further aggravation of those injuries.  The plaintiff’s injuries are indivisible and the </w:t>
      </w:r>
      <w:proofErr w:type="gramStart"/>
      <w:r w:rsidRPr="0019776A">
        <w:rPr>
          <w:rFonts w:ascii="Arial" w:hAnsi="Arial" w:cs="Arial"/>
          <w:sz w:val="24"/>
          <w:szCs w:val="24"/>
          <w:lang w:val="en-CA"/>
        </w:rPr>
        <w:t>defendant’s</w:t>
      </w:r>
      <w:proofErr w:type="gramEnd"/>
      <w:r w:rsidRPr="0019776A">
        <w:rPr>
          <w:rFonts w:ascii="Arial" w:hAnsi="Arial" w:cs="Arial"/>
          <w:sz w:val="24"/>
          <w:szCs w:val="24"/>
          <w:lang w:val="en-CA"/>
        </w:rPr>
        <w:t xml:space="preserve"> are jointly and severally liable for the plaintiff’s damages.</w:t>
      </w:r>
    </w:p>
    <w:p w14:paraId="3AD83E2F" w14:textId="77777777" w:rsidR="00485E20" w:rsidRPr="0019776A" w:rsidRDefault="00485E20" w:rsidP="00485E20">
      <w:pPr>
        <w:pStyle w:val="ListParagraph"/>
        <w:ind w:left="360"/>
        <w:jc w:val="both"/>
        <w:rPr>
          <w:rFonts w:ascii="Arial" w:hAnsi="Arial" w:cs="Arial"/>
          <w:sz w:val="24"/>
          <w:szCs w:val="24"/>
          <w:lang w:val="en-CA"/>
        </w:rPr>
      </w:pPr>
    </w:p>
    <w:p w14:paraId="14D66E37" w14:textId="77777777" w:rsidR="00485E20" w:rsidRPr="0019776A" w:rsidRDefault="00485E20" w:rsidP="00EF10C2">
      <w:pPr>
        <w:pStyle w:val="ListParagraph"/>
        <w:numPr>
          <w:ilvl w:val="0"/>
          <w:numId w:val="20"/>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In cases where the plaintiff is partially at fault for the accident (meaning they are contributorily negligent), the </w:t>
      </w:r>
      <w:r w:rsidRPr="0019776A">
        <w:rPr>
          <w:rFonts w:ascii="Arial" w:hAnsi="Arial" w:cs="Arial"/>
          <w:i/>
          <w:sz w:val="24"/>
          <w:szCs w:val="24"/>
          <w:lang w:val="en-CA"/>
        </w:rPr>
        <w:t>Negligence Act</w:t>
      </w:r>
      <w:r w:rsidRPr="0019776A">
        <w:rPr>
          <w:rFonts w:ascii="Arial" w:hAnsi="Arial" w:cs="Arial"/>
          <w:sz w:val="24"/>
          <w:szCs w:val="24"/>
          <w:lang w:val="en-CA"/>
        </w:rPr>
        <w:t xml:space="preserve"> severs liability and requires the court to apportion liability in “proportion to the degree in which each person was at fault”.  </w:t>
      </w:r>
    </w:p>
    <w:p w14:paraId="014EDEFE" w14:textId="77777777" w:rsidR="00485E20" w:rsidRPr="0019776A" w:rsidRDefault="00485E20" w:rsidP="00485E20">
      <w:pPr>
        <w:pStyle w:val="ListParagraph"/>
        <w:ind w:left="360"/>
        <w:jc w:val="both"/>
        <w:rPr>
          <w:rFonts w:ascii="Arial" w:hAnsi="Arial" w:cs="Arial"/>
          <w:lang w:val="en-CA"/>
        </w:rPr>
      </w:pPr>
    </w:p>
    <w:p w14:paraId="49CD73CA" w14:textId="77777777" w:rsidR="00485E20" w:rsidRPr="0019776A" w:rsidRDefault="00485E20" w:rsidP="00EF10C2">
      <w:pPr>
        <w:pStyle w:val="ListParagraph"/>
        <w:numPr>
          <w:ilvl w:val="0"/>
          <w:numId w:val="20"/>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Example: The plaintiff is found 25% contributorily negligent for an accident. Defendant A (an insured corporation) is found 25% at fault. Defendant B (an individual) is found 50% at fault.  Under the </w:t>
      </w:r>
      <w:r w:rsidRPr="0019776A">
        <w:rPr>
          <w:rFonts w:ascii="Arial" w:hAnsi="Arial" w:cs="Arial"/>
          <w:i/>
          <w:sz w:val="24"/>
          <w:szCs w:val="24"/>
          <w:lang w:val="en-CA"/>
        </w:rPr>
        <w:t>Negligence Act</w:t>
      </w:r>
      <w:r w:rsidRPr="0019776A">
        <w:rPr>
          <w:rFonts w:ascii="Arial" w:hAnsi="Arial" w:cs="Arial"/>
          <w:sz w:val="24"/>
          <w:szCs w:val="24"/>
          <w:lang w:val="en-CA"/>
        </w:rPr>
        <w:t xml:space="preserve">, the plaintiff can only seek 25% of their judgment from Defendant A, and must seek the remaining 50% from Defendant B.  If Defendant B has no funds, the plaintiff is left with no recourse.  </w:t>
      </w:r>
    </w:p>
    <w:p w14:paraId="69DFEB17" w14:textId="77777777" w:rsidR="00485E20" w:rsidRPr="0019776A" w:rsidRDefault="00485E20" w:rsidP="00485E20">
      <w:pPr>
        <w:pStyle w:val="ListParagraph"/>
        <w:jc w:val="both"/>
        <w:rPr>
          <w:rFonts w:ascii="Arial" w:hAnsi="Arial" w:cs="Arial"/>
          <w:sz w:val="24"/>
          <w:szCs w:val="24"/>
          <w:lang w:val="en-CA"/>
        </w:rPr>
      </w:pPr>
    </w:p>
    <w:p w14:paraId="1327F5A4" w14:textId="77777777" w:rsidR="00D16E4E" w:rsidRDefault="00485E20" w:rsidP="00D16E4E">
      <w:pPr>
        <w:pStyle w:val="ListParagraph"/>
        <w:numPr>
          <w:ilvl w:val="0"/>
          <w:numId w:val="20"/>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Note that the BC </w:t>
      </w:r>
      <w:r w:rsidRPr="0019776A">
        <w:rPr>
          <w:rFonts w:ascii="Arial" w:hAnsi="Arial" w:cs="Arial"/>
          <w:i/>
          <w:sz w:val="24"/>
          <w:szCs w:val="24"/>
          <w:lang w:val="en-CA"/>
        </w:rPr>
        <w:t>Negligence Act</w:t>
      </w:r>
      <w:r w:rsidRPr="0019776A">
        <w:rPr>
          <w:rFonts w:ascii="Arial" w:hAnsi="Arial" w:cs="Arial"/>
          <w:sz w:val="24"/>
          <w:szCs w:val="24"/>
          <w:lang w:val="en-CA"/>
        </w:rPr>
        <w:t xml:space="preserve"> is unique amongst many provinces in this regard. </w:t>
      </w:r>
    </w:p>
    <w:p w14:paraId="7F075FF1" w14:textId="77777777" w:rsidR="00D16E4E" w:rsidRPr="00D16E4E" w:rsidRDefault="00D16E4E" w:rsidP="00D16E4E">
      <w:pPr>
        <w:pStyle w:val="ListParagraph"/>
        <w:rPr>
          <w:rFonts w:ascii="Arial" w:hAnsi="Arial" w:cs="Arial"/>
          <w:color w:val="0070C0"/>
          <w:sz w:val="24"/>
          <w:szCs w:val="24"/>
          <w:lang w:val="en-CA"/>
        </w:rPr>
      </w:pPr>
    </w:p>
    <w:p w14:paraId="31EFF934" w14:textId="77777777" w:rsidR="0041275A" w:rsidRPr="0041275A" w:rsidRDefault="0041275A" w:rsidP="0041275A">
      <w:pPr>
        <w:pStyle w:val="ListParagraph"/>
        <w:spacing w:line="276" w:lineRule="auto"/>
        <w:ind w:left="1080"/>
        <w:jc w:val="both"/>
        <w:rPr>
          <w:rFonts w:ascii="Arial" w:hAnsi="Arial" w:cs="Arial"/>
          <w:sz w:val="24"/>
          <w:szCs w:val="24"/>
          <w:lang w:val="en-CA"/>
        </w:rPr>
      </w:pPr>
    </w:p>
    <w:p w14:paraId="4E4ACD70" w14:textId="5E3809C5" w:rsidR="00485E20" w:rsidRPr="0019776A" w:rsidRDefault="00485E20" w:rsidP="00EF10C2">
      <w:pPr>
        <w:pStyle w:val="ListParagraph"/>
        <w:numPr>
          <w:ilvl w:val="0"/>
          <w:numId w:val="20"/>
        </w:numPr>
        <w:spacing w:line="276" w:lineRule="auto"/>
        <w:ind w:left="360"/>
        <w:jc w:val="both"/>
        <w:rPr>
          <w:rFonts w:ascii="Arial" w:hAnsi="Arial" w:cs="Arial"/>
          <w:sz w:val="24"/>
          <w:szCs w:val="24"/>
          <w:lang w:val="en-CA"/>
        </w:rPr>
      </w:pPr>
      <w:r w:rsidRPr="0019776A">
        <w:rPr>
          <w:rFonts w:ascii="Arial" w:hAnsi="Arial" w:cs="Arial"/>
          <w:sz w:val="24"/>
          <w:szCs w:val="24"/>
          <w:lang w:val="en-CA"/>
        </w:rPr>
        <w:t>Consider the philosophical/policy reason behind a statute that allows the innocent (non-liable) plaintiff to collect 100% of the damages from a defendant that may only be 1% at fault.</w:t>
      </w:r>
    </w:p>
    <w:p w14:paraId="26B813BC" w14:textId="77777777" w:rsidR="00485E20" w:rsidRDefault="00485E20" w:rsidP="00485E20">
      <w:pPr>
        <w:pStyle w:val="ListParagraph"/>
        <w:jc w:val="both"/>
        <w:rPr>
          <w:rFonts w:ascii="Arial" w:hAnsi="Arial" w:cs="Arial"/>
          <w:sz w:val="24"/>
          <w:szCs w:val="24"/>
          <w:lang w:val="en-CA"/>
        </w:rPr>
      </w:pPr>
    </w:p>
    <w:p w14:paraId="7ACA6E58" w14:textId="77777777" w:rsidR="0041275A" w:rsidRPr="0019776A" w:rsidRDefault="0041275A" w:rsidP="00485E20">
      <w:pPr>
        <w:pStyle w:val="ListParagraph"/>
        <w:jc w:val="both"/>
        <w:rPr>
          <w:rFonts w:ascii="Arial" w:hAnsi="Arial" w:cs="Arial"/>
          <w:sz w:val="24"/>
          <w:szCs w:val="24"/>
          <w:lang w:val="en-CA"/>
        </w:rPr>
      </w:pPr>
    </w:p>
    <w:p w14:paraId="7ED9E929" w14:textId="77777777" w:rsidR="00485E20" w:rsidRPr="0019776A" w:rsidRDefault="00485E20" w:rsidP="00EF10C2">
      <w:pPr>
        <w:pStyle w:val="ListParagraph"/>
        <w:numPr>
          <w:ilvl w:val="1"/>
          <w:numId w:val="21"/>
        </w:numPr>
        <w:spacing w:line="276" w:lineRule="auto"/>
        <w:ind w:left="1080"/>
        <w:jc w:val="both"/>
        <w:rPr>
          <w:rStyle w:val="apple-style-span"/>
          <w:rFonts w:ascii="Arial" w:hAnsi="Arial" w:cs="Arial"/>
          <w:sz w:val="24"/>
          <w:szCs w:val="24"/>
          <w:lang w:val="en-CA"/>
        </w:rPr>
      </w:pPr>
      <w:r w:rsidRPr="0019776A">
        <w:rPr>
          <w:rStyle w:val="apple-style-span"/>
          <w:rFonts w:ascii="Arial" w:hAnsi="Arial" w:cs="Arial"/>
          <w:color w:val="000000"/>
          <w:sz w:val="24"/>
          <w:szCs w:val="24"/>
          <w:lang w:val="en-CA"/>
        </w:rPr>
        <w:t xml:space="preserve">Joint and several liability is efficient, promotes access to justice </w:t>
      </w:r>
    </w:p>
    <w:p w14:paraId="08D2D03F" w14:textId="77777777" w:rsidR="00485E20" w:rsidRPr="0019776A" w:rsidRDefault="00485E20" w:rsidP="00485E20">
      <w:pPr>
        <w:pStyle w:val="ListParagraph"/>
        <w:ind w:left="349"/>
        <w:jc w:val="both"/>
        <w:rPr>
          <w:rStyle w:val="apple-style-span"/>
          <w:rFonts w:ascii="Arial" w:hAnsi="Arial" w:cs="Arial"/>
          <w:sz w:val="24"/>
          <w:szCs w:val="24"/>
          <w:lang w:val="en-CA"/>
        </w:rPr>
      </w:pPr>
    </w:p>
    <w:p w14:paraId="1A8BA83A" w14:textId="77777777" w:rsidR="00485E20" w:rsidRPr="00554AE5" w:rsidRDefault="00485E20" w:rsidP="00EF10C2">
      <w:pPr>
        <w:pStyle w:val="ListParagraph"/>
        <w:numPr>
          <w:ilvl w:val="1"/>
          <w:numId w:val="21"/>
        </w:numPr>
        <w:spacing w:line="276" w:lineRule="auto"/>
        <w:ind w:left="1080"/>
        <w:jc w:val="both"/>
        <w:rPr>
          <w:rStyle w:val="Emphasis"/>
          <w:rFonts w:ascii="Arial" w:hAnsi="Arial" w:cs="Arial"/>
          <w:i w:val="0"/>
          <w:iCs w:val="0"/>
          <w:sz w:val="24"/>
          <w:szCs w:val="24"/>
          <w:lang w:val="en-CA"/>
        </w:rPr>
      </w:pPr>
      <w:r w:rsidRPr="00554AE5">
        <w:rPr>
          <w:rStyle w:val="Emphasis"/>
          <w:rFonts w:ascii="Arial" w:hAnsi="Arial" w:cs="Arial"/>
          <w:i w:val="0"/>
          <w:color w:val="000000"/>
          <w:sz w:val="24"/>
          <w:szCs w:val="24"/>
          <w:lang w:val="en-CA"/>
        </w:rPr>
        <w:t>The defendants are in the best position to apportion damages amongst themselves.</w:t>
      </w:r>
    </w:p>
    <w:p w14:paraId="7AC17A68" w14:textId="77777777" w:rsidR="00485E20" w:rsidRPr="00554AE5" w:rsidRDefault="00485E20" w:rsidP="00485E20">
      <w:pPr>
        <w:pStyle w:val="ListParagraph"/>
        <w:ind w:left="360"/>
        <w:jc w:val="both"/>
        <w:rPr>
          <w:rStyle w:val="Emphasis"/>
          <w:rFonts w:ascii="Arial" w:hAnsi="Arial" w:cs="Arial"/>
          <w:i w:val="0"/>
          <w:color w:val="000000"/>
          <w:sz w:val="24"/>
          <w:szCs w:val="24"/>
          <w:lang w:val="en-CA"/>
        </w:rPr>
      </w:pPr>
    </w:p>
    <w:p w14:paraId="6B81D09B" w14:textId="77777777" w:rsidR="00485E20" w:rsidRPr="00554AE5" w:rsidRDefault="00485E20" w:rsidP="00EF10C2">
      <w:pPr>
        <w:pStyle w:val="ListParagraph"/>
        <w:numPr>
          <w:ilvl w:val="1"/>
          <w:numId w:val="21"/>
        </w:numPr>
        <w:spacing w:line="276" w:lineRule="auto"/>
        <w:ind w:left="1080"/>
        <w:jc w:val="both"/>
        <w:rPr>
          <w:rStyle w:val="Emphasis"/>
          <w:rFonts w:ascii="Arial" w:hAnsi="Arial" w:cs="Arial"/>
          <w:i w:val="0"/>
          <w:iCs w:val="0"/>
          <w:sz w:val="24"/>
          <w:szCs w:val="24"/>
          <w:lang w:val="en-CA"/>
        </w:rPr>
      </w:pPr>
      <w:r w:rsidRPr="00554AE5">
        <w:rPr>
          <w:rStyle w:val="Emphasis"/>
          <w:rFonts w:ascii="Arial" w:hAnsi="Arial" w:cs="Arial"/>
          <w:i w:val="0"/>
          <w:color w:val="000000"/>
          <w:sz w:val="24"/>
          <w:szCs w:val="24"/>
          <w:lang w:val="en-CA"/>
        </w:rPr>
        <w:t xml:space="preserve">Once liability has been established and damages awarded, the defendants are free to litigate amongst themselves to better divide liability. </w:t>
      </w:r>
    </w:p>
    <w:p w14:paraId="6E2CA8A4" w14:textId="77777777" w:rsidR="00485E20" w:rsidRPr="00554AE5" w:rsidRDefault="00485E20" w:rsidP="00485E20">
      <w:pPr>
        <w:pStyle w:val="ListParagraph"/>
        <w:ind w:left="360"/>
        <w:jc w:val="both"/>
        <w:rPr>
          <w:rStyle w:val="Emphasis"/>
          <w:rFonts w:ascii="Arial" w:hAnsi="Arial" w:cs="Arial"/>
          <w:i w:val="0"/>
          <w:color w:val="000000"/>
          <w:sz w:val="24"/>
          <w:szCs w:val="24"/>
          <w:lang w:val="en-CA"/>
        </w:rPr>
      </w:pPr>
    </w:p>
    <w:p w14:paraId="424E8FCB" w14:textId="77777777" w:rsidR="00485E20" w:rsidRPr="00554AE5" w:rsidRDefault="00485E20" w:rsidP="00EF10C2">
      <w:pPr>
        <w:pStyle w:val="ListParagraph"/>
        <w:numPr>
          <w:ilvl w:val="1"/>
          <w:numId w:val="21"/>
        </w:numPr>
        <w:spacing w:line="276" w:lineRule="auto"/>
        <w:ind w:left="1080"/>
        <w:jc w:val="both"/>
        <w:rPr>
          <w:rStyle w:val="Emphasis"/>
          <w:rFonts w:ascii="Arial" w:hAnsi="Arial" w:cs="Arial"/>
          <w:i w:val="0"/>
          <w:iCs w:val="0"/>
          <w:sz w:val="24"/>
          <w:szCs w:val="24"/>
          <w:lang w:val="en-CA"/>
        </w:rPr>
      </w:pPr>
      <w:r w:rsidRPr="00554AE5">
        <w:rPr>
          <w:rStyle w:val="Emphasis"/>
          <w:rFonts w:ascii="Arial" w:hAnsi="Arial" w:cs="Arial"/>
          <w:i w:val="0"/>
          <w:color w:val="000000"/>
          <w:sz w:val="24"/>
          <w:szCs w:val="24"/>
          <w:lang w:val="en-CA"/>
        </w:rPr>
        <w:t>It should not be the responsibility of those harmed as a result of multiple defendant to have to seek out all those responsible in order to obtain full compensation. The burden should rest on those found responsible to pursue indemnification from each other.</w:t>
      </w:r>
    </w:p>
    <w:p w14:paraId="5AEF2E18" w14:textId="77777777" w:rsidR="00485E20" w:rsidRPr="0019776A" w:rsidRDefault="00485E20" w:rsidP="00485E20">
      <w:pPr>
        <w:pStyle w:val="ListParagraph"/>
        <w:jc w:val="both"/>
        <w:rPr>
          <w:rFonts w:ascii="Arial" w:hAnsi="Arial" w:cs="Arial"/>
          <w:sz w:val="24"/>
          <w:szCs w:val="24"/>
          <w:lang w:val="en-CA"/>
        </w:rPr>
      </w:pPr>
    </w:p>
    <w:p w14:paraId="24C83646" w14:textId="77777777" w:rsidR="00485E20" w:rsidRPr="0019776A" w:rsidRDefault="00485E20" w:rsidP="00EF10C2">
      <w:pPr>
        <w:pStyle w:val="ListParagraph"/>
        <w:numPr>
          <w:ilvl w:val="1"/>
          <w:numId w:val="21"/>
        </w:numPr>
        <w:spacing w:line="276" w:lineRule="auto"/>
        <w:ind w:left="1080"/>
        <w:jc w:val="both"/>
        <w:rPr>
          <w:rFonts w:ascii="Arial" w:hAnsi="Arial" w:cs="Arial"/>
          <w:sz w:val="24"/>
          <w:szCs w:val="24"/>
          <w:lang w:val="en-CA"/>
        </w:rPr>
      </w:pPr>
      <w:r w:rsidRPr="0019776A">
        <w:rPr>
          <w:rFonts w:ascii="Arial" w:hAnsi="Arial" w:cs="Arial"/>
          <w:sz w:val="24"/>
          <w:szCs w:val="24"/>
          <w:lang w:val="en-CA"/>
        </w:rPr>
        <w:t>J and S liability protects victims from being under compensated if one of the defendants cannot pay his or her share of proportionate liability.</w:t>
      </w:r>
    </w:p>
    <w:p w14:paraId="2FD6CFF5" w14:textId="77777777" w:rsidR="00485E20" w:rsidRPr="0019776A" w:rsidRDefault="00485E20" w:rsidP="00485E20">
      <w:pPr>
        <w:pStyle w:val="ListParagraph"/>
        <w:ind w:left="360"/>
        <w:jc w:val="both"/>
        <w:rPr>
          <w:rFonts w:ascii="Arial" w:hAnsi="Arial" w:cs="Arial"/>
          <w:sz w:val="24"/>
          <w:szCs w:val="24"/>
          <w:lang w:val="en-CA"/>
        </w:rPr>
      </w:pPr>
    </w:p>
    <w:p w14:paraId="5EF4AA24" w14:textId="77777777" w:rsidR="00485E20" w:rsidRPr="0019776A" w:rsidRDefault="00485E20" w:rsidP="00EF10C2">
      <w:pPr>
        <w:pStyle w:val="ListParagraph"/>
        <w:numPr>
          <w:ilvl w:val="1"/>
          <w:numId w:val="21"/>
        </w:numPr>
        <w:spacing w:line="276" w:lineRule="auto"/>
        <w:ind w:left="1080"/>
        <w:jc w:val="both"/>
        <w:rPr>
          <w:rFonts w:ascii="Arial" w:hAnsi="Arial" w:cs="Arial"/>
          <w:sz w:val="24"/>
          <w:szCs w:val="24"/>
          <w:lang w:val="en-CA"/>
        </w:rPr>
      </w:pPr>
      <w:r w:rsidRPr="0019776A">
        <w:rPr>
          <w:rFonts w:ascii="Arial" w:hAnsi="Arial" w:cs="Arial"/>
          <w:sz w:val="24"/>
          <w:szCs w:val="24"/>
          <w:lang w:val="en-CA"/>
        </w:rPr>
        <w:t>Opponents of the principle of J and S liability note that its use (instead of proportionate responsibility) has led to cases in which a party with a very minor part of the responsibility unfairly shoulders the burden of damages.</w:t>
      </w:r>
    </w:p>
    <w:p w14:paraId="6B30137F" w14:textId="77777777" w:rsidR="00485E20" w:rsidRPr="0019776A" w:rsidRDefault="00485E20" w:rsidP="00485E20">
      <w:pPr>
        <w:pStyle w:val="ListParagraph"/>
        <w:spacing w:line="276" w:lineRule="auto"/>
        <w:ind w:left="360"/>
        <w:jc w:val="both"/>
        <w:rPr>
          <w:rFonts w:ascii="Arial" w:hAnsi="Arial" w:cs="Arial"/>
          <w:sz w:val="24"/>
          <w:szCs w:val="24"/>
          <w:lang w:val="en-CA"/>
        </w:rPr>
      </w:pPr>
    </w:p>
    <w:p w14:paraId="2E68E8F9" w14:textId="77777777" w:rsidR="00485E20" w:rsidRPr="0019776A" w:rsidRDefault="00485E20" w:rsidP="00EF10C2">
      <w:pPr>
        <w:pStyle w:val="ListParagraph"/>
        <w:numPr>
          <w:ilvl w:val="0"/>
          <w:numId w:val="22"/>
        </w:numPr>
        <w:spacing w:line="276" w:lineRule="auto"/>
        <w:ind w:left="360"/>
        <w:jc w:val="both"/>
        <w:rPr>
          <w:rFonts w:ascii="Arial" w:hAnsi="Arial" w:cs="Arial"/>
          <w:sz w:val="24"/>
          <w:szCs w:val="24"/>
          <w:lang w:val="en-CA"/>
        </w:rPr>
      </w:pPr>
      <w:r w:rsidRPr="00C90492">
        <w:rPr>
          <w:rFonts w:ascii="Arial" w:hAnsi="Arial" w:cs="Arial"/>
          <w:bCs/>
          <w:i/>
          <w:sz w:val="24"/>
          <w:szCs w:val="24"/>
          <w:lang w:val="en-CA"/>
        </w:rPr>
        <w:t xml:space="preserve">Aberdeen v. Township of Langley et al., </w:t>
      </w:r>
      <w:hyperlink r:id="rId60" w:history="1">
        <w:r w:rsidRPr="00C90492">
          <w:rPr>
            <w:rStyle w:val="Hyperlink"/>
            <w:rFonts w:ascii="Arial" w:hAnsi="Arial" w:cs="Arial"/>
            <w:bCs/>
            <w:sz w:val="24"/>
            <w:szCs w:val="24"/>
            <w:u w:val="none"/>
            <w:lang w:val="en-CA"/>
          </w:rPr>
          <w:t>2007 BCSC 993</w:t>
        </w:r>
      </w:hyperlink>
      <w:r w:rsidRPr="00C90492">
        <w:rPr>
          <w:rFonts w:ascii="Arial" w:hAnsi="Arial" w:cs="Arial"/>
          <w:bCs/>
          <w:sz w:val="24"/>
          <w:szCs w:val="24"/>
          <w:lang w:val="en-CA"/>
        </w:rPr>
        <w:t xml:space="preserve">, </w:t>
      </w:r>
      <w:proofErr w:type="spellStart"/>
      <w:r w:rsidRPr="00C90492">
        <w:rPr>
          <w:rFonts w:ascii="Arial" w:hAnsi="Arial" w:cs="Arial"/>
          <w:bCs/>
          <w:sz w:val="24"/>
          <w:szCs w:val="24"/>
          <w:lang w:val="en-CA"/>
        </w:rPr>
        <w:t>rev’d</w:t>
      </w:r>
      <w:proofErr w:type="spellEnd"/>
      <w:r w:rsidRPr="00C90492">
        <w:rPr>
          <w:rFonts w:ascii="Arial" w:hAnsi="Arial" w:cs="Arial"/>
          <w:bCs/>
          <w:sz w:val="24"/>
          <w:szCs w:val="24"/>
          <w:lang w:val="en-CA"/>
        </w:rPr>
        <w:t xml:space="preserve"> </w:t>
      </w:r>
      <w:hyperlink r:id="rId61" w:history="1">
        <w:r w:rsidRPr="00C90492">
          <w:rPr>
            <w:rStyle w:val="Hyperlink"/>
            <w:rFonts w:ascii="Arial" w:hAnsi="Arial" w:cs="Arial"/>
            <w:bCs/>
            <w:sz w:val="24"/>
            <w:szCs w:val="24"/>
            <w:u w:val="none"/>
            <w:lang w:val="en-CA"/>
          </w:rPr>
          <w:t>2008 BCCA 420</w:t>
        </w:r>
      </w:hyperlink>
      <w:r w:rsidRPr="0019776A">
        <w:rPr>
          <w:rFonts w:ascii="Arial" w:hAnsi="Arial" w:cs="Arial"/>
          <w:sz w:val="24"/>
          <w:szCs w:val="24"/>
          <w:lang w:val="en-CA"/>
        </w:rPr>
        <w:t xml:space="preserve"> is an excellent example of a liability analysis (how negligence is proven), the issues of joint and several liability, and the allocation of fault (based upon moral blameworthiness).  The facts of the case are relatively straightforward:</w:t>
      </w:r>
    </w:p>
    <w:p w14:paraId="09BE596C" w14:textId="77777777" w:rsidR="00485E20" w:rsidRPr="0019776A" w:rsidRDefault="00485E20" w:rsidP="00485E20">
      <w:pPr>
        <w:pStyle w:val="ListParagraph"/>
        <w:ind w:left="0"/>
        <w:jc w:val="both"/>
        <w:rPr>
          <w:rFonts w:ascii="Arial" w:hAnsi="Arial" w:cs="Arial"/>
          <w:sz w:val="24"/>
          <w:szCs w:val="24"/>
          <w:lang w:val="en-CA"/>
        </w:rPr>
      </w:pPr>
    </w:p>
    <w:p w14:paraId="66794A37" w14:textId="77777777" w:rsidR="00485E20" w:rsidRPr="0019776A" w:rsidRDefault="00485E20" w:rsidP="00EF10C2">
      <w:pPr>
        <w:pStyle w:val="ListParagraph"/>
        <w:numPr>
          <w:ilvl w:val="0"/>
          <w:numId w:val="24"/>
        </w:numPr>
        <w:spacing w:line="276" w:lineRule="auto"/>
        <w:ind w:left="1080"/>
        <w:jc w:val="both"/>
        <w:rPr>
          <w:rFonts w:ascii="Arial" w:hAnsi="Arial" w:cs="Arial"/>
          <w:sz w:val="24"/>
          <w:szCs w:val="24"/>
          <w:lang w:val="en-CA"/>
        </w:rPr>
      </w:pPr>
      <w:r w:rsidRPr="0019776A">
        <w:rPr>
          <w:rFonts w:ascii="Arial" w:hAnsi="Arial" w:cs="Arial"/>
          <w:sz w:val="24"/>
          <w:szCs w:val="24"/>
          <w:lang w:val="en-CA"/>
        </w:rPr>
        <w:t>Zanatta (van driver) – crossed the yellow line of 272</w:t>
      </w:r>
      <w:r w:rsidRPr="0019776A">
        <w:rPr>
          <w:rFonts w:ascii="Arial" w:hAnsi="Arial" w:cs="Arial"/>
          <w:sz w:val="24"/>
          <w:szCs w:val="24"/>
          <w:vertAlign w:val="superscript"/>
          <w:lang w:val="en-CA"/>
        </w:rPr>
        <w:t>nd</w:t>
      </w:r>
      <w:r w:rsidRPr="0019776A">
        <w:rPr>
          <w:rFonts w:ascii="Arial" w:hAnsi="Arial" w:cs="Arial"/>
          <w:sz w:val="24"/>
          <w:szCs w:val="24"/>
          <w:lang w:val="en-CA"/>
        </w:rPr>
        <w:t xml:space="preserve"> street creating a hazard which caused Aberdeen’s accident (para 26-30).</w:t>
      </w:r>
    </w:p>
    <w:p w14:paraId="562112D8" w14:textId="77777777" w:rsidR="00485E20" w:rsidRPr="0019776A" w:rsidRDefault="00485E20" w:rsidP="00485E20">
      <w:pPr>
        <w:pStyle w:val="ListParagraph"/>
        <w:ind w:left="1440"/>
        <w:jc w:val="both"/>
        <w:rPr>
          <w:rFonts w:ascii="Arial" w:hAnsi="Arial" w:cs="Arial"/>
          <w:sz w:val="24"/>
          <w:szCs w:val="24"/>
          <w:lang w:val="en-CA"/>
        </w:rPr>
      </w:pPr>
    </w:p>
    <w:p w14:paraId="4DDCD3C4" w14:textId="77777777" w:rsidR="00485E20" w:rsidRPr="0019776A" w:rsidRDefault="00485E20" w:rsidP="00EF10C2">
      <w:pPr>
        <w:pStyle w:val="ListParagraph"/>
        <w:numPr>
          <w:ilvl w:val="0"/>
          <w:numId w:val="24"/>
        </w:numPr>
        <w:spacing w:line="276" w:lineRule="auto"/>
        <w:ind w:left="1080"/>
        <w:jc w:val="both"/>
        <w:rPr>
          <w:rFonts w:ascii="Arial" w:hAnsi="Arial" w:cs="Arial"/>
          <w:sz w:val="24"/>
          <w:szCs w:val="24"/>
          <w:lang w:val="en-CA"/>
        </w:rPr>
      </w:pPr>
      <w:r w:rsidRPr="0019776A">
        <w:rPr>
          <w:rFonts w:ascii="Arial" w:hAnsi="Arial" w:cs="Arial"/>
          <w:sz w:val="24"/>
          <w:szCs w:val="24"/>
          <w:lang w:val="en-CA"/>
        </w:rPr>
        <w:t>Township of Langley – gap between the metal barrier and a cement no-post barrier; gravel on the side of the road (para 31-41).</w:t>
      </w:r>
    </w:p>
    <w:p w14:paraId="2BB4E43D" w14:textId="77777777" w:rsidR="00485E20" w:rsidRPr="0019776A" w:rsidRDefault="00485E20" w:rsidP="00485E20">
      <w:pPr>
        <w:pStyle w:val="ListParagraph"/>
        <w:ind w:left="1440"/>
        <w:jc w:val="both"/>
        <w:rPr>
          <w:rFonts w:ascii="Arial" w:hAnsi="Arial" w:cs="Arial"/>
          <w:sz w:val="24"/>
          <w:szCs w:val="24"/>
          <w:lang w:val="en-CA"/>
        </w:rPr>
      </w:pPr>
    </w:p>
    <w:p w14:paraId="55A4D06D" w14:textId="77777777" w:rsidR="00485E20" w:rsidRPr="0019776A" w:rsidRDefault="00485E20" w:rsidP="00EF10C2">
      <w:pPr>
        <w:pStyle w:val="ListParagraph"/>
        <w:numPr>
          <w:ilvl w:val="0"/>
          <w:numId w:val="24"/>
        </w:numPr>
        <w:spacing w:line="276" w:lineRule="auto"/>
        <w:ind w:left="1080"/>
        <w:jc w:val="both"/>
        <w:rPr>
          <w:rFonts w:ascii="Arial" w:hAnsi="Arial" w:cs="Arial"/>
          <w:sz w:val="24"/>
          <w:szCs w:val="24"/>
          <w:lang w:val="en-CA"/>
        </w:rPr>
      </w:pPr>
      <w:r w:rsidRPr="0019776A">
        <w:rPr>
          <w:rFonts w:ascii="Arial" w:hAnsi="Arial" w:cs="Arial"/>
          <w:sz w:val="24"/>
          <w:szCs w:val="24"/>
          <w:lang w:val="en-CA"/>
        </w:rPr>
        <w:t>Aberdeen – possible contributory negligence relating to speed (paras 23 -25), however, no evidence of speeding and confirmation that Aberdeen was an expert cyclist (paras 42-53).</w:t>
      </w:r>
    </w:p>
    <w:p w14:paraId="2EDCBE64" w14:textId="77777777" w:rsidR="00485E20" w:rsidRPr="0019776A" w:rsidRDefault="00485E20" w:rsidP="00485E20">
      <w:pPr>
        <w:jc w:val="both"/>
        <w:rPr>
          <w:rFonts w:ascii="Arial" w:hAnsi="Arial" w:cs="Arial"/>
          <w:sz w:val="24"/>
          <w:szCs w:val="24"/>
          <w:lang w:val="en-CA"/>
        </w:rPr>
      </w:pPr>
    </w:p>
    <w:p w14:paraId="6580BF2B" w14:textId="77777777" w:rsidR="00485E20" w:rsidRPr="0019776A" w:rsidRDefault="00485E20" w:rsidP="00EF10C2">
      <w:pPr>
        <w:pStyle w:val="ListParagraph"/>
        <w:numPr>
          <w:ilvl w:val="0"/>
          <w:numId w:val="23"/>
        </w:numPr>
        <w:spacing w:line="276" w:lineRule="auto"/>
        <w:ind w:left="360"/>
        <w:jc w:val="both"/>
        <w:rPr>
          <w:rFonts w:ascii="Arial" w:hAnsi="Arial" w:cs="Arial"/>
          <w:sz w:val="24"/>
          <w:szCs w:val="24"/>
          <w:lang w:val="en-CA"/>
        </w:rPr>
      </w:pPr>
      <w:r w:rsidRPr="0019776A">
        <w:rPr>
          <w:rFonts w:ascii="Arial" w:hAnsi="Arial" w:cs="Arial"/>
          <w:sz w:val="24"/>
          <w:szCs w:val="24"/>
          <w:lang w:val="en-CA"/>
        </w:rPr>
        <w:t>Para 67 – the key inquiry in assessing the allocation of liability is comparative blameworthiness – this is the relative degree by which each of the parties departed from the standard of care to be expected in the circumstances.  This inquiry is informed by numerous factors, including the nature of the departure from that standard of care, its magnitude, and the gravity of the risk thereby created.</w:t>
      </w:r>
    </w:p>
    <w:p w14:paraId="1732C158" w14:textId="77777777" w:rsidR="00485E20" w:rsidRPr="0019776A" w:rsidRDefault="00485E20" w:rsidP="00485E20">
      <w:pPr>
        <w:jc w:val="both"/>
        <w:rPr>
          <w:rFonts w:ascii="Arial" w:hAnsi="Arial" w:cs="Arial"/>
          <w:sz w:val="24"/>
          <w:szCs w:val="24"/>
          <w:lang w:val="en-CA"/>
        </w:rPr>
      </w:pPr>
    </w:p>
    <w:p w14:paraId="113015F4" w14:textId="719C7318" w:rsidR="00485E20" w:rsidRPr="0019776A" w:rsidRDefault="00485E20" w:rsidP="00EF10C2">
      <w:pPr>
        <w:pStyle w:val="ListParagraph"/>
        <w:numPr>
          <w:ilvl w:val="0"/>
          <w:numId w:val="23"/>
        </w:numPr>
        <w:spacing w:line="276" w:lineRule="auto"/>
        <w:ind w:left="360"/>
        <w:jc w:val="both"/>
        <w:rPr>
          <w:rFonts w:ascii="Arial" w:hAnsi="Arial" w:cs="Arial"/>
          <w:sz w:val="24"/>
          <w:szCs w:val="24"/>
          <w:lang w:val="en-CA"/>
        </w:rPr>
      </w:pPr>
      <w:r w:rsidRPr="0019776A">
        <w:rPr>
          <w:rFonts w:ascii="Arial" w:hAnsi="Arial" w:cs="Arial"/>
          <w:sz w:val="24"/>
          <w:szCs w:val="24"/>
          <w:lang w:val="en-CA"/>
        </w:rPr>
        <w:t>Para 68 – plaintiff claims that Zanatta’s negligence was a minor departure from the standard of care imposed on motorists.  In contrast, the plaintiff argues that Langley’s departure from the standard of care imposed on municipalities was extreme: Langley created the gap, failed to take action to remedy the gap for three years, and vehicles would have been redirected the metal barrier and then speared by the no-post barrier.  Cyclists were at risk of being directed by the barrier and directed through the gap into the ravine.</w:t>
      </w:r>
      <w:r w:rsidR="0022228B">
        <w:rPr>
          <w:rFonts w:ascii="Arial" w:hAnsi="Arial" w:cs="Arial"/>
          <w:sz w:val="24"/>
          <w:szCs w:val="24"/>
          <w:lang w:val="en-CA"/>
        </w:rPr>
        <w:t xml:space="preserve"> </w:t>
      </w:r>
      <w:r w:rsidRPr="0019776A">
        <w:rPr>
          <w:rFonts w:ascii="Arial" w:hAnsi="Arial" w:cs="Arial"/>
          <w:sz w:val="24"/>
          <w:szCs w:val="24"/>
          <w:lang w:val="en-CA"/>
        </w:rPr>
        <w:t>The plaintiff argued that negligence should be apportioned at 10-20% to Zanatta and 80-90% to Langley</w:t>
      </w:r>
    </w:p>
    <w:p w14:paraId="7CC6E1F7" w14:textId="77777777" w:rsidR="00485E20" w:rsidRPr="0019776A" w:rsidRDefault="00485E20" w:rsidP="00485E20">
      <w:pPr>
        <w:jc w:val="both"/>
        <w:rPr>
          <w:rFonts w:ascii="Arial" w:hAnsi="Arial" w:cs="Arial"/>
          <w:sz w:val="24"/>
          <w:szCs w:val="24"/>
          <w:lang w:val="en-CA"/>
        </w:rPr>
      </w:pPr>
    </w:p>
    <w:p w14:paraId="74D7C700" w14:textId="77777777" w:rsidR="00485E20" w:rsidRPr="0019776A" w:rsidRDefault="00485E20" w:rsidP="00EF10C2">
      <w:pPr>
        <w:pStyle w:val="ListParagraph"/>
        <w:numPr>
          <w:ilvl w:val="0"/>
          <w:numId w:val="23"/>
        </w:numPr>
        <w:spacing w:line="276" w:lineRule="auto"/>
        <w:ind w:left="360"/>
        <w:jc w:val="both"/>
        <w:rPr>
          <w:rFonts w:ascii="Arial" w:hAnsi="Arial" w:cs="Arial"/>
          <w:sz w:val="24"/>
          <w:szCs w:val="24"/>
          <w:lang w:val="en-CA"/>
        </w:rPr>
      </w:pPr>
      <w:r w:rsidRPr="0019776A">
        <w:rPr>
          <w:rFonts w:ascii="Arial" w:hAnsi="Arial" w:cs="Arial"/>
          <w:sz w:val="24"/>
          <w:szCs w:val="24"/>
          <w:lang w:val="en-CA"/>
        </w:rPr>
        <w:t>Para 78 – Liability apportioned at 25% to the Zanatta defendants and 75% to Langley.</w:t>
      </w:r>
    </w:p>
    <w:p w14:paraId="14FA3806" w14:textId="77777777" w:rsidR="00485E20" w:rsidRPr="0019776A" w:rsidRDefault="00485E20" w:rsidP="00485E20">
      <w:pPr>
        <w:pStyle w:val="ListParagraph"/>
        <w:rPr>
          <w:rFonts w:ascii="Arial" w:hAnsi="Arial" w:cs="Arial"/>
          <w:b/>
          <w:i/>
          <w:sz w:val="24"/>
          <w:szCs w:val="24"/>
          <w:lang w:val="en-CA"/>
        </w:rPr>
      </w:pPr>
    </w:p>
    <w:p w14:paraId="5E43FCBE" w14:textId="77777777" w:rsidR="00485E20" w:rsidRDefault="00485E20" w:rsidP="00EF10C2">
      <w:pPr>
        <w:pStyle w:val="ListParagraph"/>
        <w:numPr>
          <w:ilvl w:val="0"/>
          <w:numId w:val="23"/>
        </w:numPr>
        <w:spacing w:line="276" w:lineRule="auto"/>
        <w:ind w:left="360"/>
        <w:jc w:val="both"/>
        <w:rPr>
          <w:rFonts w:ascii="Arial" w:hAnsi="Arial" w:cs="Arial"/>
          <w:sz w:val="24"/>
          <w:szCs w:val="24"/>
          <w:lang w:val="en-CA"/>
        </w:rPr>
      </w:pPr>
      <w:r w:rsidRPr="0019776A">
        <w:rPr>
          <w:rFonts w:ascii="Arial" w:hAnsi="Arial" w:cs="Arial"/>
          <w:sz w:val="24"/>
          <w:szCs w:val="24"/>
          <w:lang w:val="en-CA"/>
        </w:rPr>
        <w:t>In the Court of Appeal</w:t>
      </w:r>
      <w:r w:rsidRPr="0019776A">
        <w:rPr>
          <w:rFonts w:ascii="Arial" w:hAnsi="Arial" w:cs="Arial"/>
          <w:i/>
          <w:sz w:val="24"/>
          <w:szCs w:val="24"/>
          <w:lang w:val="en-CA"/>
        </w:rPr>
        <w:t xml:space="preserve"> (</w:t>
      </w:r>
      <w:r w:rsidRPr="00C90492">
        <w:rPr>
          <w:rFonts w:ascii="Arial" w:hAnsi="Arial" w:cs="Arial"/>
          <w:bCs/>
          <w:i/>
          <w:sz w:val="24"/>
          <w:szCs w:val="24"/>
          <w:lang w:val="en-CA"/>
        </w:rPr>
        <w:t>Aberdeen v. Township of Langley et al.</w:t>
      </w:r>
      <w:r w:rsidRPr="00C90492">
        <w:rPr>
          <w:rFonts w:ascii="Arial" w:hAnsi="Arial" w:cs="Arial"/>
          <w:bCs/>
          <w:sz w:val="24"/>
          <w:szCs w:val="24"/>
          <w:lang w:val="en-CA"/>
        </w:rPr>
        <w:t xml:space="preserve"> </w:t>
      </w:r>
      <w:hyperlink r:id="rId62" w:history="1">
        <w:r w:rsidRPr="00C90492">
          <w:rPr>
            <w:rStyle w:val="Hyperlink"/>
            <w:rFonts w:ascii="Arial" w:hAnsi="Arial" w:cs="Arial"/>
            <w:bCs/>
            <w:sz w:val="24"/>
            <w:szCs w:val="24"/>
            <w:u w:val="none"/>
            <w:lang w:val="en-CA"/>
          </w:rPr>
          <w:t>2008 BCCA 420</w:t>
        </w:r>
      </w:hyperlink>
      <w:r w:rsidRPr="0019776A">
        <w:rPr>
          <w:rFonts w:ascii="Arial" w:hAnsi="Arial" w:cs="Arial"/>
          <w:sz w:val="24"/>
          <w:szCs w:val="24"/>
          <w:lang w:val="en-CA"/>
        </w:rPr>
        <w:t xml:space="preserve">) the defendants appealed liability, including the finding that the plaintiff was not contributory negligent, and the quantum of damages for future care costs, which were assessed at $4,151,504 plus $388,639 for the replacement of the plaintiff’s house with one specially equipped for him.  The Court of Appeal affirms the award of damages but remits the issue of contributory negligence against the plaintiff for retrial.  In particular, at paragraphs 23 – 26 the Court of Appeal states that the trial judge erred in failing to consider specifically whether Mr. Aberdeen had been taking reasonable care for his own safety. </w:t>
      </w:r>
    </w:p>
    <w:p w14:paraId="26591757" w14:textId="1B4ED45A" w:rsidR="00943477" w:rsidRPr="00996AE6" w:rsidRDefault="00943477" w:rsidP="00996AE6">
      <w:pPr>
        <w:tabs>
          <w:tab w:val="left" w:pos="1080"/>
        </w:tabs>
        <w:spacing w:line="276" w:lineRule="auto"/>
        <w:ind w:right="720"/>
        <w:jc w:val="both"/>
        <w:rPr>
          <w:rStyle w:val="Hyperlink"/>
          <w:rFonts w:ascii="Arial" w:hAnsi="Arial" w:cs="Arial"/>
          <w:color w:val="auto"/>
          <w:sz w:val="24"/>
          <w:szCs w:val="24"/>
          <w:u w:val="none"/>
          <w:lang w:val="en-CA"/>
        </w:rPr>
      </w:pPr>
    </w:p>
    <w:p w14:paraId="622CA712" w14:textId="77777777" w:rsidR="00485E20" w:rsidRPr="0019776A" w:rsidRDefault="00485E20" w:rsidP="00EF10C2">
      <w:pPr>
        <w:pStyle w:val="Default"/>
        <w:numPr>
          <w:ilvl w:val="1"/>
          <w:numId w:val="33"/>
        </w:numPr>
        <w:spacing w:after="200"/>
        <w:ind w:left="450"/>
        <w:jc w:val="both"/>
        <w:rPr>
          <w:rStyle w:val="Hyperlink"/>
          <w:rFonts w:ascii="Arial" w:hAnsi="Arial" w:cs="Arial"/>
          <w:b/>
          <w:color w:val="auto"/>
          <w:u w:val="none"/>
          <w:lang w:val="en-CA"/>
        </w:rPr>
      </w:pPr>
      <w:r w:rsidRPr="0019776A">
        <w:rPr>
          <w:rStyle w:val="Hyperlink"/>
          <w:rFonts w:ascii="Arial" w:hAnsi="Arial" w:cs="Arial"/>
          <w:b/>
          <w:color w:val="auto"/>
          <w:u w:val="none"/>
          <w:lang w:val="en-CA"/>
        </w:rPr>
        <w:t>Vicarious liability</w:t>
      </w:r>
    </w:p>
    <w:p w14:paraId="661246BD" w14:textId="77777777" w:rsidR="00485E20" w:rsidRPr="0019776A" w:rsidRDefault="00485E20" w:rsidP="00EF10C2">
      <w:pPr>
        <w:pStyle w:val="Default"/>
        <w:numPr>
          <w:ilvl w:val="0"/>
          <w:numId w:val="27"/>
        </w:numPr>
        <w:tabs>
          <w:tab w:val="clear" w:pos="720"/>
          <w:tab w:val="num" w:pos="360"/>
        </w:tabs>
        <w:spacing w:after="200"/>
        <w:ind w:left="360"/>
        <w:jc w:val="both"/>
        <w:rPr>
          <w:rStyle w:val="Hyperlink"/>
          <w:rFonts w:ascii="Arial" w:hAnsi="Arial" w:cs="Arial"/>
          <w:color w:val="auto"/>
          <w:u w:val="none"/>
          <w:lang w:val="en-CA"/>
        </w:rPr>
      </w:pPr>
      <w:r w:rsidRPr="0019776A">
        <w:rPr>
          <w:rStyle w:val="Hyperlink"/>
          <w:rFonts w:ascii="Arial" w:hAnsi="Arial" w:cs="Arial"/>
          <w:color w:val="auto"/>
          <w:u w:val="none"/>
          <w:lang w:val="en-CA"/>
        </w:rPr>
        <w:t xml:space="preserve">Vicarious liability is a legal doctrine that holds one person or entity legally responsible for the acts or omissions of another – if the wrongdoer was acting within the scope and course of the control and/or authority of the secondary entity or person, such as an employer, or the owner of a vehicle.  </w:t>
      </w:r>
    </w:p>
    <w:p w14:paraId="66309B65" w14:textId="77777777" w:rsidR="00485E20" w:rsidRPr="0019776A" w:rsidRDefault="00485E20" w:rsidP="00EF10C2">
      <w:pPr>
        <w:pStyle w:val="Default"/>
        <w:numPr>
          <w:ilvl w:val="0"/>
          <w:numId w:val="27"/>
        </w:numPr>
        <w:tabs>
          <w:tab w:val="clear" w:pos="720"/>
          <w:tab w:val="num" w:pos="360"/>
        </w:tabs>
        <w:spacing w:after="200"/>
        <w:ind w:left="360"/>
        <w:jc w:val="both"/>
        <w:rPr>
          <w:rStyle w:val="Hyperlink"/>
          <w:rFonts w:ascii="Arial" w:hAnsi="Arial" w:cs="Arial"/>
          <w:color w:val="auto"/>
          <w:u w:val="none"/>
          <w:lang w:val="en-CA"/>
        </w:rPr>
      </w:pPr>
      <w:r w:rsidRPr="0019776A">
        <w:rPr>
          <w:rStyle w:val="Hyperlink"/>
          <w:rFonts w:ascii="Arial" w:hAnsi="Arial" w:cs="Arial"/>
          <w:color w:val="auto"/>
          <w:u w:val="none"/>
          <w:lang w:val="en-CA"/>
        </w:rPr>
        <w:t xml:space="preserve">Why is vicarious liability important? Because the vicariously liable entity will often have assets or insurance where the tortfeasor does not.  </w:t>
      </w:r>
    </w:p>
    <w:p w14:paraId="71C6709E" w14:textId="5FF9385E" w:rsidR="00485E20" w:rsidRDefault="00485E20" w:rsidP="00EF10C2">
      <w:pPr>
        <w:pStyle w:val="Default"/>
        <w:numPr>
          <w:ilvl w:val="1"/>
          <w:numId w:val="27"/>
        </w:numPr>
        <w:spacing w:after="200"/>
        <w:jc w:val="both"/>
        <w:rPr>
          <w:rStyle w:val="Hyperlink"/>
          <w:rFonts w:ascii="Arial" w:hAnsi="Arial" w:cs="Arial"/>
          <w:color w:val="auto"/>
          <w:u w:val="none"/>
          <w:lang w:val="en-CA"/>
        </w:rPr>
      </w:pPr>
      <w:r w:rsidRPr="0019776A">
        <w:rPr>
          <w:rStyle w:val="Hyperlink"/>
          <w:rFonts w:ascii="Arial" w:hAnsi="Arial" w:cs="Arial"/>
          <w:color w:val="auto"/>
          <w:u w:val="none"/>
          <w:lang w:val="en-CA"/>
        </w:rPr>
        <w:t xml:space="preserve">For example, a Catholic Diocese is usually vicariously liable for the sexual assaults of its clergy, and a clergyman often has no assets of his own and is judgment proof. </w:t>
      </w:r>
    </w:p>
    <w:p w14:paraId="68ED3F99" w14:textId="77777777" w:rsidR="0022228B" w:rsidRDefault="0022228B" w:rsidP="005F0942">
      <w:pPr>
        <w:pStyle w:val="Default"/>
        <w:keepNext/>
        <w:keepLines/>
        <w:spacing w:after="200"/>
        <w:jc w:val="both"/>
        <w:rPr>
          <w:rStyle w:val="Hyperlink"/>
          <w:rFonts w:ascii="Arial" w:hAnsi="Arial" w:cs="Arial"/>
          <w:b/>
          <w:color w:val="auto"/>
          <w:u w:val="none"/>
          <w:lang w:val="en-CA"/>
        </w:rPr>
      </w:pPr>
    </w:p>
    <w:p w14:paraId="133EE717" w14:textId="10961696" w:rsidR="00B2229D" w:rsidRPr="00B2229D" w:rsidRDefault="00B2229D" w:rsidP="005F0942">
      <w:pPr>
        <w:pStyle w:val="Default"/>
        <w:keepNext/>
        <w:keepLines/>
        <w:spacing w:after="200"/>
        <w:jc w:val="both"/>
        <w:rPr>
          <w:rStyle w:val="Hyperlink"/>
          <w:rFonts w:ascii="Arial" w:hAnsi="Arial" w:cs="Arial"/>
          <w:b/>
          <w:color w:val="auto"/>
          <w:u w:val="none"/>
          <w:lang w:val="en-CA"/>
        </w:rPr>
      </w:pPr>
      <w:r>
        <w:rPr>
          <w:rStyle w:val="Hyperlink"/>
          <w:rFonts w:ascii="Arial" w:hAnsi="Arial" w:cs="Arial"/>
          <w:b/>
          <w:color w:val="auto"/>
          <w:u w:val="none"/>
          <w:lang w:val="en-CA"/>
        </w:rPr>
        <w:t>Vicarious liability in the context of motor vehicle accidents:</w:t>
      </w:r>
    </w:p>
    <w:p w14:paraId="7FE28A45" w14:textId="1F9DA451" w:rsidR="00485E20" w:rsidRPr="00071E5E" w:rsidRDefault="00485E20" w:rsidP="00842EF8">
      <w:pPr>
        <w:pStyle w:val="Default"/>
        <w:numPr>
          <w:ilvl w:val="0"/>
          <w:numId w:val="27"/>
        </w:numPr>
        <w:tabs>
          <w:tab w:val="clear" w:pos="720"/>
          <w:tab w:val="num" w:pos="360"/>
        </w:tabs>
        <w:spacing w:after="200"/>
        <w:ind w:left="360"/>
        <w:jc w:val="both"/>
        <w:rPr>
          <w:rStyle w:val="Hyperlink"/>
          <w:rFonts w:ascii="Arial" w:hAnsi="Arial" w:cs="Arial"/>
          <w:color w:val="auto"/>
          <w:u w:val="none"/>
          <w:lang w:val="en-CA"/>
        </w:rPr>
      </w:pPr>
      <w:r w:rsidRPr="00071E5E">
        <w:rPr>
          <w:rStyle w:val="Hyperlink"/>
          <w:rFonts w:ascii="Arial" w:hAnsi="Arial" w:cs="Arial"/>
          <w:color w:val="auto"/>
          <w:u w:val="none"/>
          <w:lang w:val="en-CA"/>
        </w:rPr>
        <w:t xml:space="preserve">In </w:t>
      </w:r>
      <w:r w:rsidRPr="00C90492">
        <w:rPr>
          <w:rStyle w:val="Hyperlink"/>
          <w:rFonts w:ascii="Arial" w:hAnsi="Arial" w:cs="Arial"/>
          <w:bCs/>
          <w:i/>
          <w:color w:val="auto"/>
          <w:u w:val="none"/>
          <w:lang w:val="en-CA"/>
        </w:rPr>
        <w:t xml:space="preserve">Bowe v. Bowe, </w:t>
      </w:r>
      <w:hyperlink r:id="rId63" w:history="1">
        <w:r w:rsidRPr="00C90492">
          <w:rPr>
            <w:rStyle w:val="Hyperlink"/>
            <w:rFonts w:ascii="Arial" w:hAnsi="Arial" w:cs="Arial"/>
            <w:bCs/>
            <w:u w:val="none"/>
            <w:lang w:val="en-CA"/>
          </w:rPr>
          <w:t>2019 BCSC 1454</w:t>
        </w:r>
      </w:hyperlink>
      <w:r w:rsidR="00071E5E" w:rsidRPr="00C90492">
        <w:rPr>
          <w:rStyle w:val="Hyperlink"/>
          <w:rFonts w:ascii="Arial" w:hAnsi="Arial" w:cs="Arial"/>
          <w:bCs/>
          <w:u w:val="none"/>
          <w:lang w:val="en-CA"/>
        </w:rPr>
        <w:t xml:space="preserve"> (</w:t>
      </w:r>
      <w:r w:rsidR="00071E5E" w:rsidRPr="00C90492">
        <w:rPr>
          <w:rFonts w:ascii="Arial" w:hAnsi="Arial" w:cs="Arial"/>
          <w:bCs/>
          <w:lang w:val="en-CA"/>
        </w:rPr>
        <w:t xml:space="preserve">varied in </w:t>
      </w:r>
      <w:hyperlink r:id="rId64" w:history="1">
        <w:r w:rsidR="00071E5E" w:rsidRPr="00C90492">
          <w:rPr>
            <w:rStyle w:val="Hyperlink"/>
            <w:rFonts w:ascii="Arial" w:hAnsi="Arial" w:cs="Arial"/>
            <w:bCs/>
            <w:szCs w:val="25"/>
          </w:rPr>
          <w:t>2022 BCCA 35</w:t>
        </w:r>
      </w:hyperlink>
      <w:r w:rsidR="00071E5E" w:rsidRPr="00071E5E">
        <w:rPr>
          <w:rStyle w:val="Hyperlink"/>
          <w:rFonts w:ascii="Arial" w:hAnsi="Arial" w:cs="Arial"/>
          <w:color w:val="auto"/>
          <w:szCs w:val="25"/>
          <w:u w:val="none"/>
        </w:rPr>
        <w:t>)</w:t>
      </w:r>
      <w:r w:rsidR="00071E5E">
        <w:rPr>
          <w:rStyle w:val="Hyperlink"/>
          <w:rFonts w:ascii="Arial" w:hAnsi="Arial" w:cs="Arial"/>
          <w:color w:val="auto"/>
          <w:szCs w:val="25"/>
          <w:u w:val="none"/>
        </w:rPr>
        <w:t xml:space="preserve"> t</w:t>
      </w:r>
      <w:r w:rsidRPr="00071E5E">
        <w:rPr>
          <w:rFonts w:ascii="Arial" w:hAnsi="Arial" w:cs="Arial"/>
          <w:lang w:val="en-CA"/>
        </w:rPr>
        <w:t>he plaintiff passenger, Tyson Bowe</w:t>
      </w:r>
      <w:r w:rsidR="00071E5E">
        <w:rPr>
          <w:rFonts w:ascii="Arial" w:hAnsi="Arial" w:cs="Arial"/>
          <w:lang w:val="en-CA"/>
        </w:rPr>
        <w:t>, age 15</w:t>
      </w:r>
      <w:r w:rsidRPr="00071E5E">
        <w:rPr>
          <w:rFonts w:ascii="Arial" w:hAnsi="Arial" w:cs="Arial"/>
          <w:lang w:val="en-CA"/>
        </w:rPr>
        <w:t>, had taken his stepfather</w:t>
      </w:r>
      <w:r w:rsidR="00071E5E">
        <w:rPr>
          <w:rFonts w:ascii="Arial" w:hAnsi="Arial" w:cs="Arial"/>
          <w:lang w:val="en-CA"/>
        </w:rPr>
        <w:t xml:space="preserve"> Ray Boltz</w:t>
      </w:r>
      <w:r w:rsidRPr="00071E5E">
        <w:rPr>
          <w:rFonts w:ascii="Arial" w:hAnsi="Arial" w:cs="Arial"/>
          <w:lang w:val="en-CA"/>
        </w:rPr>
        <w:t xml:space="preserve">’s keys without permission. His </w:t>
      </w:r>
      <w:r w:rsidR="00071E5E">
        <w:rPr>
          <w:rFonts w:ascii="Arial" w:hAnsi="Arial" w:cs="Arial"/>
          <w:lang w:val="en-CA"/>
        </w:rPr>
        <w:t xml:space="preserve">15-year-old </w:t>
      </w:r>
      <w:r w:rsidRPr="00071E5E">
        <w:rPr>
          <w:rFonts w:ascii="Arial" w:hAnsi="Arial" w:cs="Arial"/>
          <w:lang w:val="en-CA"/>
        </w:rPr>
        <w:t xml:space="preserve">cousin, Dale Bowe, </w:t>
      </w:r>
      <w:r w:rsidR="00071E5E">
        <w:rPr>
          <w:rFonts w:ascii="Arial" w:hAnsi="Arial" w:cs="Arial"/>
          <w:lang w:val="en-CA"/>
        </w:rPr>
        <w:t>who did not live in the household</w:t>
      </w:r>
      <w:r w:rsidRPr="00071E5E">
        <w:rPr>
          <w:rFonts w:ascii="Arial" w:hAnsi="Arial" w:cs="Arial"/>
          <w:lang w:val="en-CA"/>
        </w:rPr>
        <w:t xml:space="preserve">, </w:t>
      </w:r>
      <w:r w:rsidR="00071E5E">
        <w:rPr>
          <w:rFonts w:ascii="Arial" w:hAnsi="Arial" w:cs="Arial"/>
          <w:lang w:val="en-CA"/>
        </w:rPr>
        <w:t>was on the joyride</w:t>
      </w:r>
      <w:r w:rsidRPr="00071E5E">
        <w:rPr>
          <w:rFonts w:ascii="Arial" w:hAnsi="Arial" w:cs="Arial"/>
          <w:lang w:val="en-CA"/>
        </w:rPr>
        <w:t>.  Neither had a driver’s license. Both t</w:t>
      </w:r>
      <w:r w:rsidR="00554AE5" w:rsidRPr="00071E5E">
        <w:rPr>
          <w:rFonts w:ascii="Arial" w:hAnsi="Arial" w:cs="Arial"/>
          <w:lang w:val="en-CA"/>
        </w:rPr>
        <w:t xml:space="preserve">ook turns driving the vehicle. </w:t>
      </w:r>
      <w:r w:rsidRPr="00071E5E">
        <w:rPr>
          <w:rStyle w:val="Hyperlink"/>
          <w:rFonts w:ascii="Arial" w:hAnsi="Arial" w:cs="Arial"/>
          <w:color w:val="auto"/>
          <w:u w:val="none"/>
          <w:lang w:val="en-CA"/>
        </w:rPr>
        <w:t>Dale crashed the car</w:t>
      </w:r>
      <w:r w:rsidR="00071E5E">
        <w:rPr>
          <w:rStyle w:val="Hyperlink"/>
          <w:rFonts w:ascii="Arial" w:hAnsi="Arial" w:cs="Arial"/>
          <w:color w:val="auto"/>
          <w:u w:val="none"/>
          <w:lang w:val="en-CA"/>
        </w:rPr>
        <w:t xml:space="preserve"> when he was driving</w:t>
      </w:r>
      <w:r w:rsidRPr="00071E5E">
        <w:rPr>
          <w:rStyle w:val="Hyperlink"/>
          <w:rFonts w:ascii="Arial" w:hAnsi="Arial" w:cs="Arial"/>
          <w:color w:val="auto"/>
          <w:u w:val="none"/>
          <w:lang w:val="en-CA"/>
        </w:rPr>
        <w:t>, and Tyson</w:t>
      </w:r>
      <w:r w:rsidR="00071E5E">
        <w:rPr>
          <w:rStyle w:val="Hyperlink"/>
          <w:rFonts w:ascii="Arial" w:hAnsi="Arial" w:cs="Arial"/>
          <w:color w:val="auto"/>
          <w:u w:val="none"/>
          <w:lang w:val="en-CA"/>
        </w:rPr>
        <w:t xml:space="preserve">, a passenger at the material time, </w:t>
      </w:r>
      <w:r w:rsidRPr="00071E5E">
        <w:rPr>
          <w:rStyle w:val="Hyperlink"/>
          <w:rFonts w:ascii="Arial" w:hAnsi="Arial" w:cs="Arial"/>
          <w:color w:val="auto"/>
          <w:u w:val="none"/>
          <w:lang w:val="en-CA"/>
        </w:rPr>
        <w:t xml:space="preserve">was seriously injured.  A jury found him to be contributory negligent to his own injuries. </w:t>
      </w:r>
    </w:p>
    <w:p w14:paraId="30DF70E1" w14:textId="77777777" w:rsidR="00485E20" w:rsidRPr="0019776A" w:rsidRDefault="00485E20" w:rsidP="00EF10C2">
      <w:pPr>
        <w:pStyle w:val="NormalWeb"/>
        <w:numPr>
          <w:ilvl w:val="0"/>
          <w:numId w:val="27"/>
        </w:numPr>
        <w:shd w:val="clear" w:color="auto" w:fill="FFFFFF"/>
        <w:tabs>
          <w:tab w:val="clear" w:pos="720"/>
          <w:tab w:val="num" w:pos="360"/>
        </w:tabs>
        <w:spacing w:before="450" w:beforeAutospacing="0" w:after="200" w:afterAutospacing="0"/>
        <w:ind w:left="360"/>
        <w:jc w:val="both"/>
        <w:rPr>
          <w:rFonts w:ascii="Arial" w:hAnsi="Arial" w:cs="Arial"/>
          <w:color w:val="272424"/>
          <w:sz w:val="25"/>
          <w:szCs w:val="25"/>
        </w:rPr>
      </w:pPr>
      <w:r w:rsidRPr="0022228B">
        <w:rPr>
          <w:rFonts w:ascii="Arial" w:hAnsi="Arial" w:cs="Arial"/>
          <w:color w:val="272424"/>
        </w:rPr>
        <w:t>Section 86 of BC’s </w:t>
      </w:r>
      <w:r w:rsidRPr="0022228B">
        <w:rPr>
          <w:rStyle w:val="Emphasis"/>
          <w:rFonts w:ascii="Arial" w:hAnsi="Arial" w:cs="Arial"/>
        </w:rPr>
        <w:t>Motor Vehicle Act</w:t>
      </w:r>
      <w:r w:rsidRPr="0022228B">
        <w:rPr>
          <w:rFonts w:ascii="Arial" w:hAnsi="Arial" w:cs="Arial"/>
        </w:rPr>
        <w:t> </w:t>
      </w:r>
      <w:r w:rsidRPr="0022228B">
        <w:rPr>
          <w:rFonts w:ascii="Arial" w:hAnsi="Arial" w:cs="Arial"/>
          <w:color w:val="272424"/>
        </w:rPr>
        <w:t>establishes vicarious liability for vehicle owners when their vehicle is being driven by a household member or by anyone who acquired the vehicle with the owner’s consent</w:t>
      </w:r>
      <w:r w:rsidRPr="0019776A">
        <w:rPr>
          <w:rFonts w:ascii="Arial" w:hAnsi="Arial" w:cs="Arial"/>
          <w:color w:val="272424"/>
          <w:sz w:val="25"/>
          <w:szCs w:val="25"/>
        </w:rPr>
        <w:t>:</w:t>
      </w:r>
    </w:p>
    <w:p w14:paraId="06FA2C4D" w14:textId="77777777" w:rsidR="00485E20" w:rsidRPr="0019776A" w:rsidRDefault="00485E20" w:rsidP="00485E20">
      <w:pPr>
        <w:pStyle w:val="scjquote"/>
        <w:shd w:val="clear" w:color="auto" w:fill="FFFFFF"/>
        <w:tabs>
          <w:tab w:val="left" w:pos="360"/>
        </w:tabs>
        <w:spacing w:before="120" w:beforeAutospacing="0" w:after="120" w:afterAutospacing="0"/>
        <w:ind w:left="720"/>
        <w:rPr>
          <w:rFonts w:ascii="Arial" w:hAnsi="Arial" w:cs="Arial"/>
          <w:sz w:val="22"/>
          <w:szCs w:val="25"/>
          <w:lang w:val="en-CA"/>
        </w:rPr>
      </w:pPr>
      <w:r w:rsidRPr="0019776A">
        <w:rPr>
          <w:rStyle w:val="Emphasis"/>
          <w:rFonts w:ascii="Arial" w:hAnsi="Arial" w:cs="Arial"/>
          <w:b/>
          <w:bCs/>
          <w:sz w:val="22"/>
          <w:szCs w:val="25"/>
          <w:lang w:val="en-CA"/>
        </w:rPr>
        <w:t>Responsibility of owner or lessee in certain cases</w:t>
      </w:r>
    </w:p>
    <w:p w14:paraId="4FBF57C2" w14:textId="11E8E246" w:rsidR="00554AE5" w:rsidRPr="00554AE5" w:rsidRDefault="00485E20" w:rsidP="00554AE5">
      <w:pPr>
        <w:pStyle w:val="scjquote"/>
        <w:shd w:val="clear" w:color="auto" w:fill="FFFFFF"/>
        <w:tabs>
          <w:tab w:val="left" w:pos="360"/>
        </w:tabs>
        <w:spacing w:before="120" w:beforeAutospacing="0" w:after="120" w:afterAutospacing="0"/>
        <w:ind w:left="720" w:right="720"/>
        <w:jc w:val="both"/>
        <w:rPr>
          <w:rFonts w:ascii="Arial" w:hAnsi="Arial" w:cs="Arial"/>
          <w:i/>
          <w:iCs/>
          <w:sz w:val="22"/>
          <w:szCs w:val="25"/>
          <w:lang w:val="en-CA"/>
        </w:rPr>
      </w:pPr>
      <w:r w:rsidRPr="0019776A">
        <w:rPr>
          <w:rStyle w:val="Emphasis"/>
          <w:rFonts w:ascii="Arial" w:hAnsi="Arial" w:cs="Arial"/>
          <w:sz w:val="22"/>
          <w:szCs w:val="25"/>
          <w:lang w:val="en-CA"/>
        </w:rPr>
        <w:t xml:space="preserve">86(1)    In the case of a motor vehicle that is in the possession of its owner, in an action to recover for loss or damage to persons or property arising out of the use or operation of the motor vehicle on a highway, a person </w:t>
      </w:r>
      <w:r w:rsidRPr="003F0D44">
        <w:rPr>
          <w:rStyle w:val="Emphasis"/>
          <w:rFonts w:ascii="Arial" w:hAnsi="Arial" w:cs="Arial"/>
          <w:b/>
          <w:bCs/>
          <w:sz w:val="22"/>
          <w:szCs w:val="25"/>
          <w:lang w:val="en-CA"/>
        </w:rPr>
        <w:t xml:space="preserve">driving </w:t>
      </w:r>
      <w:r w:rsidRPr="003F0D44">
        <w:rPr>
          <w:rStyle w:val="Emphasis"/>
          <w:rFonts w:ascii="Arial" w:hAnsi="Arial" w:cs="Arial"/>
          <w:b/>
          <w:bCs/>
          <w:sz w:val="22"/>
          <w:szCs w:val="25"/>
          <w:u w:val="single"/>
          <w:lang w:val="en-CA"/>
        </w:rPr>
        <w:t>or</w:t>
      </w:r>
      <w:r w:rsidRPr="003F0D44">
        <w:rPr>
          <w:rStyle w:val="Emphasis"/>
          <w:rFonts w:ascii="Arial" w:hAnsi="Arial" w:cs="Arial"/>
          <w:b/>
          <w:bCs/>
          <w:sz w:val="22"/>
          <w:szCs w:val="25"/>
          <w:lang w:val="en-CA"/>
        </w:rPr>
        <w:t xml:space="preserve"> operating</w:t>
      </w:r>
      <w:r w:rsidRPr="0019776A">
        <w:rPr>
          <w:rStyle w:val="Emphasis"/>
          <w:rFonts w:ascii="Arial" w:hAnsi="Arial" w:cs="Arial"/>
          <w:sz w:val="22"/>
          <w:szCs w:val="25"/>
          <w:lang w:val="en-CA"/>
        </w:rPr>
        <w:t xml:space="preserve"> the motor vehicle who</w:t>
      </w:r>
      <w:r w:rsidR="00554AE5">
        <w:rPr>
          <w:rStyle w:val="Emphasis"/>
          <w:rFonts w:ascii="Arial" w:hAnsi="Arial" w:cs="Arial"/>
          <w:sz w:val="22"/>
          <w:szCs w:val="25"/>
          <w:lang w:val="en-CA"/>
        </w:rPr>
        <w:t>:</w:t>
      </w:r>
    </w:p>
    <w:p w14:paraId="0E0AD522" w14:textId="77777777" w:rsidR="00485E20" w:rsidRPr="0019776A" w:rsidRDefault="00485E20" w:rsidP="00485E20">
      <w:pPr>
        <w:pStyle w:val="scjquote"/>
        <w:shd w:val="clear" w:color="auto" w:fill="FFFFFF"/>
        <w:tabs>
          <w:tab w:val="left" w:pos="360"/>
        </w:tabs>
        <w:spacing w:before="120" w:beforeAutospacing="0" w:after="120" w:afterAutospacing="0"/>
        <w:ind w:left="1440" w:right="720"/>
        <w:jc w:val="both"/>
        <w:rPr>
          <w:rFonts w:ascii="Arial" w:hAnsi="Arial" w:cs="Arial"/>
          <w:sz w:val="22"/>
          <w:szCs w:val="25"/>
          <w:lang w:val="en-CA"/>
        </w:rPr>
      </w:pPr>
      <w:r w:rsidRPr="0019776A">
        <w:rPr>
          <w:rStyle w:val="Emphasis"/>
          <w:rFonts w:ascii="Arial" w:hAnsi="Arial" w:cs="Arial"/>
          <w:sz w:val="22"/>
          <w:szCs w:val="25"/>
          <w:lang w:val="en-CA"/>
        </w:rPr>
        <w:t>(a)      is living with, and as a member of the family of, the owner</w:t>
      </w:r>
    </w:p>
    <w:p w14:paraId="509F29E8" w14:textId="0729A1DC" w:rsidR="00485E20" w:rsidRPr="0019776A" w:rsidRDefault="00071E5E" w:rsidP="00EF10C2">
      <w:pPr>
        <w:pStyle w:val="NormalWeb"/>
        <w:numPr>
          <w:ilvl w:val="0"/>
          <w:numId w:val="27"/>
        </w:numPr>
        <w:shd w:val="clear" w:color="auto" w:fill="FFFFFF"/>
        <w:tabs>
          <w:tab w:val="clear" w:pos="720"/>
          <w:tab w:val="num" w:pos="360"/>
        </w:tabs>
        <w:spacing w:before="450" w:beforeAutospacing="0" w:after="200" w:afterAutospacing="0"/>
        <w:ind w:left="360"/>
        <w:jc w:val="both"/>
        <w:rPr>
          <w:rFonts w:ascii="Arial" w:hAnsi="Arial" w:cs="Arial"/>
          <w:color w:val="272424"/>
          <w:szCs w:val="25"/>
        </w:rPr>
      </w:pPr>
      <w:r>
        <w:rPr>
          <w:rFonts w:ascii="Arial" w:hAnsi="Arial" w:cs="Arial"/>
          <w:color w:val="272424"/>
          <w:szCs w:val="25"/>
        </w:rPr>
        <w:t xml:space="preserve">As trial judge, </w:t>
      </w:r>
      <w:r w:rsidR="00485E20" w:rsidRPr="0019776A">
        <w:rPr>
          <w:rFonts w:ascii="Arial" w:hAnsi="Arial" w:cs="Arial"/>
          <w:color w:val="272424"/>
          <w:szCs w:val="25"/>
        </w:rPr>
        <w:t xml:space="preserve">Mr. Justice Voith </w:t>
      </w:r>
      <w:r>
        <w:rPr>
          <w:rFonts w:ascii="Arial" w:hAnsi="Arial" w:cs="Arial"/>
          <w:color w:val="272424"/>
          <w:szCs w:val="25"/>
        </w:rPr>
        <w:t xml:space="preserve">(as he then was) </w:t>
      </w:r>
      <w:r w:rsidR="00485E20" w:rsidRPr="0019776A">
        <w:rPr>
          <w:rFonts w:ascii="Arial" w:hAnsi="Arial" w:cs="Arial"/>
          <w:color w:val="272424"/>
          <w:szCs w:val="25"/>
        </w:rPr>
        <w:t>found that, even though Cousin Dale was not a household member, vicarious liability was triggered by this section and the registered owner was vicariously liable for the collision:</w:t>
      </w:r>
    </w:p>
    <w:p w14:paraId="051777BC" w14:textId="77777777" w:rsidR="00485E20" w:rsidRPr="0019776A" w:rsidRDefault="00485E20" w:rsidP="00485E20">
      <w:pPr>
        <w:pStyle w:val="scjnumber"/>
        <w:shd w:val="clear" w:color="auto" w:fill="FFFFFF"/>
        <w:spacing w:before="200" w:beforeAutospacing="0" w:after="200" w:afterAutospacing="0"/>
        <w:ind w:left="720" w:right="720"/>
        <w:jc w:val="both"/>
        <w:rPr>
          <w:rFonts w:ascii="Arial" w:hAnsi="Arial" w:cs="Arial"/>
          <w:sz w:val="22"/>
          <w:szCs w:val="25"/>
          <w:lang w:val="en-CA"/>
        </w:rPr>
      </w:pPr>
      <w:r w:rsidRPr="0019776A">
        <w:rPr>
          <w:rStyle w:val="Emphasis"/>
          <w:rFonts w:ascii="Arial" w:hAnsi="Arial" w:cs="Arial"/>
          <w:sz w:val="22"/>
          <w:szCs w:val="25"/>
          <w:lang w:val="en-CA"/>
        </w:rPr>
        <w:t>[65]         It is important in this case not to be swayed by the fact that the Plaintiff took Mr. Boltz’s car keys without his permission.  This lack of consent, on the part of Mr. Boltz, is irrelevant, on a principled basis, to the intention and operation of s. 86(1)(a).  The provision is, instead, engaged in the first instance on account of the family relationship that exists between Mr. Boltz and the Plaintiff.  The Plaintiff’s own fault and contributory negligence, in taking the keys to the vehicle and in the events that gave rise to his injuries, are addressed by the jury’s specific findings on that issue.</w:t>
      </w:r>
    </w:p>
    <w:p w14:paraId="70592197" w14:textId="77777777" w:rsidR="00485E20" w:rsidRPr="0019776A" w:rsidRDefault="00485E20" w:rsidP="00485E20">
      <w:pPr>
        <w:pStyle w:val="scjnumber"/>
        <w:shd w:val="clear" w:color="auto" w:fill="FFFFFF"/>
        <w:spacing w:before="160" w:beforeAutospacing="0" w:after="200" w:afterAutospacing="0"/>
        <w:ind w:left="720" w:right="720"/>
        <w:jc w:val="both"/>
        <w:rPr>
          <w:rFonts w:ascii="Arial" w:hAnsi="Arial" w:cs="Arial"/>
          <w:sz w:val="22"/>
          <w:szCs w:val="25"/>
          <w:lang w:val="en-CA"/>
        </w:rPr>
      </w:pPr>
      <w:r w:rsidRPr="0019776A">
        <w:rPr>
          <w:rStyle w:val="Emphasis"/>
          <w:rFonts w:ascii="Arial" w:hAnsi="Arial" w:cs="Arial"/>
          <w:sz w:val="22"/>
          <w:szCs w:val="25"/>
          <w:lang w:val="en-CA"/>
        </w:rPr>
        <w:t>[66]         Furthermore, the application of s. 86(1)(a) is not influenced by whether the injured party in a motor vehicle accident is an innocent and unknown third party who is struck by a vehicle or a passenger in that vehicle.  Under s. 86(1)(a), the same result necessarily ensues whether Dale struck an innocent person crossing the street or whether he injured the Plaintiff who was sitting beside him at the time of the Accident.  If the Defendants are correct, an innocent third party would have no recourse against Mr. Boltz.  I raise these matters because the result of this application must be consonant with the language of s. 86(1)(a) and with the object of that provision in the various circumstances that I have described.</w:t>
      </w:r>
    </w:p>
    <w:p w14:paraId="266A83D6" w14:textId="77777777" w:rsidR="00485E20" w:rsidRPr="0019776A" w:rsidRDefault="00485E20" w:rsidP="00485E20">
      <w:pPr>
        <w:pStyle w:val="scjnumber"/>
        <w:shd w:val="clear" w:color="auto" w:fill="FFFFFF"/>
        <w:spacing w:before="160" w:beforeAutospacing="0" w:after="200" w:afterAutospacing="0"/>
        <w:ind w:left="720" w:right="720"/>
        <w:jc w:val="both"/>
        <w:rPr>
          <w:rFonts w:ascii="Arial" w:hAnsi="Arial" w:cs="Arial"/>
          <w:sz w:val="22"/>
          <w:szCs w:val="25"/>
          <w:lang w:val="en-CA"/>
        </w:rPr>
      </w:pPr>
      <w:r w:rsidRPr="0019776A">
        <w:rPr>
          <w:rStyle w:val="Emphasis"/>
          <w:rFonts w:ascii="Arial" w:hAnsi="Arial" w:cs="Arial"/>
          <w:sz w:val="22"/>
          <w:szCs w:val="25"/>
          <w:lang w:val="en-CA"/>
        </w:rPr>
        <w:t>[67]         The purview of s. 86(1)(a) clearly extends beyond those cases where a family member of the owner of the vehicle is involved in a motor vehicle accident while “driving” the vehicle.  It extends to cases where the family member is “operating” the vehicle.  How the words “operate” or “operating” are interpreted is a function of the meaning of those words and, to the extent different meanings are reasonably possible, a consideration of what meaning best achieves the intended purpose of the provision.</w:t>
      </w:r>
    </w:p>
    <w:p w14:paraId="5F506475" w14:textId="77777777" w:rsidR="00485E20" w:rsidRPr="0019776A" w:rsidRDefault="00485E20" w:rsidP="00485E20">
      <w:pPr>
        <w:pStyle w:val="scjnumber"/>
        <w:shd w:val="clear" w:color="auto" w:fill="FFFFFF"/>
        <w:spacing w:before="160" w:beforeAutospacing="0" w:after="200" w:afterAutospacing="0"/>
        <w:ind w:left="720" w:right="720"/>
        <w:jc w:val="both"/>
        <w:rPr>
          <w:rFonts w:ascii="Arial" w:hAnsi="Arial" w:cs="Arial"/>
          <w:sz w:val="22"/>
          <w:szCs w:val="25"/>
          <w:lang w:val="en-CA"/>
        </w:rPr>
      </w:pPr>
      <w:r w:rsidRPr="0019776A">
        <w:rPr>
          <w:rStyle w:val="Emphasis"/>
          <w:rFonts w:ascii="Arial" w:hAnsi="Arial" w:cs="Arial"/>
          <w:sz w:val="22"/>
          <w:szCs w:val="25"/>
          <w:lang w:val="en-CA"/>
        </w:rPr>
        <w:t>[68]         “Operate” in the MVA is, in other provisions, defined as having “the care or control” of a motor vehicle.  A somewhat extended definition of “operate”, found in the IVR, has earlier been considered in the context of s. 86.  That definition “includes” instances where an individual is in the “care, custody or control” of the vehicle.  The word “includes” in the IVR contemplates an even broader definition.  Furthermore, the specific words “care, custody or control” operate disjunctively.</w:t>
      </w:r>
    </w:p>
    <w:p w14:paraId="480BCCD1" w14:textId="48B47D90" w:rsidR="00485E20" w:rsidRPr="0019776A" w:rsidRDefault="0055073C" w:rsidP="00485E20">
      <w:pPr>
        <w:pStyle w:val="scjnumber"/>
        <w:shd w:val="clear" w:color="auto" w:fill="FFFFFF"/>
        <w:spacing w:before="160" w:beforeAutospacing="0" w:after="200" w:afterAutospacing="0"/>
        <w:ind w:left="720" w:right="720"/>
        <w:jc w:val="both"/>
        <w:rPr>
          <w:rFonts w:ascii="Arial" w:hAnsi="Arial" w:cs="Arial"/>
          <w:sz w:val="22"/>
          <w:szCs w:val="25"/>
          <w:lang w:val="en-CA"/>
        </w:rPr>
      </w:pPr>
      <w:r>
        <w:rPr>
          <w:rStyle w:val="Emphasis"/>
          <w:rFonts w:ascii="Arial" w:hAnsi="Arial" w:cs="Arial"/>
          <w:sz w:val="22"/>
          <w:szCs w:val="25"/>
          <w:lang w:val="en-CA"/>
        </w:rPr>
        <w:t>…</w:t>
      </w:r>
    </w:p>
    <w:p w14:paraId="07BD3F01" w14:textId="77777777" w:rsidR="00485E20" w:rsidRPr="0019776A" w:rsidRDefault="00485E20" w:rsidP="00485E20">
      <w:pPr>
        <w:pStyle w:val="scjnumber"/>
        <w:shd w:val="clear" w:color="auto" w:fill="FFFFFF"/>
        <w:spacing w:before="160" w:beforeAutospacing="0" w:after="200" w:afterAutospacing="0"/>
        <w:ind w:left="720" w:right="720"/>
        <w:jc w:val="both"/>
        <w:rPr>
          <w:rFonts w:ascii="Arial" w:hAnsi="Arial" w:cs="Arial"/>
          <w:sz w:val="22"/>
          <w:szCs w:val="25"/>
          <w:lang w:val="en-CA"/>
        </w:rPr>
      </w:pPr>
      <w:r w:rsidRPr="0019776A">
        <w:rPr>
          <w:rStyle w:val="Emphasis"/>
          <w:rFonts w:ascii="Arial" w:hAnsi="Arial" w:cs="Arial"/>
          <w:sz w:val="22"/>
          <w:szCs w:val="25"/>
          <w:lang w:val="en-CA"/>
        </w:rPr>
        <w:t>[71]         In this case, over the course of the evening, the Plaintiff and Dale drove Mr. Boltz’s vehicle and were passengers at different times.  When they changed roles, one would “drive” and the other would not.  This narrow set of activities only addresses the question of who was “driving” at different times.</w:t>
      </w:r>
    </w:p>
    <w:p w14:paraId="0226AB03" w14:textId="77777777" w:rsidR="00485E20" w:rsidRPr="0019776A" w:rsidRDefault="00485E20" w:rsidP="00485E20">
      <w:pPr>
        <w:pStyle w:val="scjnumber"/>
        <w:shd w:val="clear" w:color="auto" w:fill="FFFFFF"/>
        <w:spacing w:before="160" w:beforeAutospacing="0" w:after="200" w:afterAutospacing="0"/>
        <w:ind w:left="720" w:right="720"/>
        <w:jc w:val="both"/>
        <w:rPr>
          <w:rFonts w:ascii="Arial" w:hAnsi="Arial" w:cs="Arial"/>
          <w:sz w:val="22"/>
          <w:szCs w:val="25"/>
          <w:lang w:val="en-CA"/>
        </w:rPr>
      </w:pPr>
      <w:r w:rsidRPr="0019776A">
        <w:rPr>
          <w:rStyle w:val="Emphasis"/>
          <w:rFonts w:ascii="Arial" w:hAnsi="Arial" w:cs="Arial"/>
          <w:sz w:val="22"/>
          <w:szCs w:val="25"/>
          <w:lang w:val="en-CA"/>
        </w:rPr>
        <w:t xml:space="preserve">[72]         When the Plaintiff obtained Mr. Boltz’s car keys, he initially sat in the driver </w:t>
      </w:r>
      <w:proofErr w:type="gramStart"/>
      <w:r w:rsidRPr="0019776A">
        <w:rPr>
          <w:rStyle w:val="Emphasis"/>
          <w:rFonts w:ascii="Arial" w:hAnsi="Arial" w:cs="Arial"/>
          <w:sz w:val="22"/>
          <w:szCs w:val="25"/>
          <w:lang w:val="en-CA"/>
        </w:rPr>
        <w:t>seat</w:t>
      </w:r>
      <w:proofErr w:type="gramEnd"/>
      <w:r w:rsidRPr="0019776A">
        <w:rPr>
          <w:rStyle w:val="Emphasis"/>
          <w:rFonts w:ascii="Arial" w:hAnsi="Arial" w:cs="Arial"/>
          <w:sz w:val="22"/>
          <w:szCs w:val="25"/>
          <w:lang w:val="en-CA"/>
        </w:rPr>
        <w:t xml:space="preserve"> and he held the car keys in his hand.  At that point, though he was not “driving”, the vehicle was in his “care, custody or control”.  I do not consider that that would change when he gave the keys to Dale.</w:t>
      </w:r>
    </w:p>
    <w:p w14:paraId="207B348F" w14:textId="77777777" w:rsidR="00485E20" w:rsidRPr="0019776A" w:rsidRDefault="00485E20" w:rsidP="00485E20">
      <w:pPr>
        <w:pStyle w:val="scjnumber"/>
        <w:shd w:val="clear" w:color="auto" w:fill="FFFFFF"/>
        <w:spacing w:before="160" w:beforeAutospacing="0" w:after="200" w:afterAutospacing="0"/>
        <w:ind w:left="720" w:right="720"/>
        <w:jc w:val="both"/>
        <w:rPr>
          <w:rFonts w:ascii="Arial" w:hAnsi="Arial" w:cs="Arial"/>
          <w:sz w:val="22"/>
          <w:szCs w:val="25"/>
          <w:lang w:val="en-CA"/>
        </w:rPr>
      </w:pPr>
      <w:r w:rsidRPr="0019776A">
        <w:rPr>
          <w:rStyle w:val="Emphasis"/>
          <w:rFonts w:ascii="Arial" w:hAnsi="Arial" w:cs="Arial"/>
          <w:sz w:val="22"/>
          <w:szCs w:val="25"/>
          <w:lang w:val="en-CA"/>
        </w:rPr>
        <w:t>[73]         To be specific, if the Plaintiff no longer held the keys he would likely no longer overtly have “control” of the vehicle.  He would, however, still have “care or custody” of the vehicle.  It would be open to him to ask for the return of the keys.  It would be open to him to require that they return to the Plaintiff’s home and that they return Mr. Boltz’s vehicle.</w:t>
      </w:r>
    </w:p>
    <w:p w14:paraId="319C1AB5" w14:textId="77777777" w:rsidR="00485E20" w:rsidRPr="0019776A" w:rsidRDefault="00485E20" w:rsidP="00485E20">
      <w:pPr>
        <w:pStyle w:val="scjnumber"/>
        <w:shd w:val="clear" w:color="auto" w:fill="FFFFFF"/>
        <w:spacing w:before="160" w:beforeAutospacing="0" w:after="200" w:afterAutospacing="0"/>
        <w:ind w:left="720" w:right="720"/>
        <w:jc w:val="both"/>
        <w:rPr>
          <w:rFonts w:ascii="Arial" w:hAnsi="Arial" w:cs="Arial"/>
          <w:sz w:val="22"/>
          <w:szCs w:val="25"/>
          <w:lang w:val="en-CA"/>
        </w:rPr>
      </w:pPr>
      <w:r w:rsidRPr="0019776A">
        <w:rPr>
          <w:rStyle w:val="Emphasis"/>
          <w:rFonts w:ascii="Arial" w:hAnsi="Arial" w:cs="Arial"/>
          <w:sz w:val="22"/>
          <w:szCs w:val="25"/>
          <w:lang w:val="en-CA"/>
        </w:rPr>
        <w:t xml:space="preserve">[74]         I posit an example that arises in a slightly different context but one that mirrors, on a principled basis, the circumstances of this case.  If a father gives his son his vehicle keys and his son, while on a trip, allows a friend to drive, while he sits in the passenger seat, can it be said that the son no longer has “care” or “custody” of his father’s vehicle?  Can it be said that he is not “using” the vehicle?  Based on the common sense meaning of these words, and on the </w:t>
      </w:r>
      <w:proofErr w:type="gramStart"/>
      <w:r w:rsidRPr="0019776A">
        <w:rPr>
          <w:rStyle w:val="Emphasis"/>
          <w:rFonts w:ascii="Arial" w:hAnsi="Arial" w:cs="Arial"/>
          <w:sz w:val="22"/>
          <w:szCs w:val="25"/>
          <w:lang w:val="en-CA"/>
        </w:rPr>
        <w:t>authorities</w:t>
      </w:r>
      <w:proofErr w:type="gramEnd"/>
      <w:r w:rsidRPr="0019776A">
        <w:rPr>
          <w:rStyle w:val="Emphasis"/>
          <w:rFonts w:ascii="Arial" w:hAnsi="Arial" w:cs="Arial"/>
          <w:sz w:val="22"/>
          <w:szCs w:val="25"/>
          <w:lang w:val="en-CA"/>
        </w:rPr>
        <w:t xml:space="preserve"> I have referred to, I do not consider that this is so.  To determine otherwise would be to make the words “drive” or “operate” virtually synonymous in circumstances where it is clear that the two words are both intended to, and do, have different meanings.</w:t>
      </w:r>
    </w:p>
    <w:p w14:paraId="4CB96A8B" w14:textId="77777777" w:rsidR="00485E20" w:rsidRPr="0019776A" w:rsidRDefault="00485E20" w:rsidP="00485E20">
      <w:pPr>
        <w:pStyle w:val="scjnumber"/>
        <w:shd w:val="clear" w:color="auto" w:fill="FFFFFF"/>
        <w:spacing w:before="160" w:beforeAutospacing="0" w:after="200" w:afterAutospacing="0"/>
        <w:ind w:left="720" w:right="720"/>
        <w:jc w:val="both"/>
        <w:rPr>
          <w:rFonts w:ascii="Arial" w:hAnsi="Arial" w:cs="Arial"/>
          <w:sz w:val="22"/>
          <w:szCs w:val="25"/>
          <w:lang w:val="en-CA"/>
        </w:rPr>
      </w:pPr>
      <w:r w:rsidRPr="0019776A">
        <w:rPr>
          <w:rStyle w:val="Emphasis"/>
          <w:rFonts w:ascii="Arial" w:hAnsi="Arial" w:cs="Arial"/>
          <w:sz w:val="22"/>
          <w:szCs w:val="25"/>
          <w:lang w:val="en-CA"/>
        </w:rPr>
        <w:t>[75]         These conclusions are further informed by the intended remedial purpose of s. 86(1).  It is to be recalled that the “only policy reasons underlying s. 86(1) to be considered are those in favour of protecting innocent third parties seeking compensation for injuries suffered at the hands of negligent automobile drivers and, vicariously, owners”: Barreiro at para. 28.</w:t>
      </w:r>
    </w:p>
    <w:p w14:paraId="003939B5" w14:textId="77777777" w:rsidR="00485E20" w:rsidRPr="0019776A" w:rsidRDefault="00485E20" w:rsidP="00485E20">
      <w:pPr>
        <w:pStyle w:val="scjnumber"/>
        <w:shd w:val="clear" w:color="auto" w:fill="FFFFFF"/>
        <w:spacing w:before="160" w:beforeAutospacing="0" w:after="200" w:afterAutospacing="0"/>
        <w:ind w:left="720" w:right="720"/>
        <w:jc w:val="both"/>
        <w:rPr>
          <w:rFonts w:ascii="Arial" w:hAnsi="Arial" w:cs="Arial"/>
          <w:sz w:val="22"/>
          <w:szCs w:val="25"/>
          <w:lang w:val="en-CA"/>
        </w:rPr>
      </w:pPr>
      <w:r w:rsidRPr="0019776A">
        <w:rPr>
          <w:rStyle w:val="Emphasis"/>
          <w:rFonts w:ascii="Arial" w:hAnsi="Arial" w:cs="Arial"/>
          <w:sz w:val="22"/>
          <w:szCs w:val="25"/>
          <w:lang w:val="en-CA"/>
        </w:rPr>
        <w:t>[76]         Having regard to the foregoing considerations, I am satisfied the Plaintiff was, at the time of the Accident, “operating” Mr. Boltz’s vehicle notwithstanding the fact that he was a passenger in the vehicle.</w:t>
      </w:r>
    </w:p>
    <w:p w14:paraId="2E6774C0" w14:textId="77777777" w:rsidR="00485E20" w:rsidRPr="0019776A" w:rsidRDefault="00485E20" w:rsidP="00485E20">
      <w:pPr>
        <w:pStyle w:val="scjnumber"/>
        <w:shd w:val="clear" w:color="auto" w:fill="FFFFFF"/>
        <w:spacing w:before="160" w:beforeAutospacing="0" w:after="200" w:afterAutospacing="0"/>
        <w:ind w:left="720" w:right="720"/>
        <w:jc w:val="both"/>
        <w:rPr>
          <w:rFonts w:ascii="Arial" w:hAnsi="Arial" w:cs="Arial"/>
          <w:sz w:val="22"/>
          <w:szCs w:val="25"/>
          <w:lang w:val="en-CA"/>
        </w:rPr>
      </w:pPr>
      <w:r w:rsidRPr="0019776A">
        <w:rPr>
          <w:rStyle w:val="Emphasis"/>
          <w:rFonts w:ascii="Arial" w:hAnsi="Arial" w:cs="Arial"/>
          <w:sz w:val="22"/>
          <w:szCs w:val="25"/>
          <w:lang w:val="en-CA"/>
        </w:rPr>
        <w:t>[77]         This conclusion recognizes and gives effect to each of the words “drive” and “operate”.  It is consistent with the meaning of the word “operate” in the MVA and the IVR––a related enactment.  It is consistent with the object and remedial purposes of s. 86(1).  Still further it is consistent with the relevant authorities.</w:t>
      </w:r>
    </w:p>
    <w:p w14:paraId="51F6B2BB" w14:textId="3DBF6E15" w:rsidR="00485E20" w:rsidRDefault="00485E20" w:rsidP="00485E20">
      <w:pPr>
        <w:pStyle w:val="scjnumber"/>
        <w:shd w:val="clear" w:color="auto" w:fill="FFFFFF"/>
        <w:spacing w:before="160" w:beforeAutospacing="0" w:after="450" w:afterAutospacing="0"/>
        <w:ind w:left="720" w:right="720"/>
        <w:jc w:val="both"/>
        <w:rPr>
          <w:rStyle w:val="Emphasis"/>
          <w:rFonts w:ascii="Arial" w:hAnsi="Arial" w:cs="Arial"/>
          <w:sz w:val="22"/>
          <w:szCs w:val="25"/>
          <w:lang w:val="en-CA"/>
        </w:rPr>
      </w:pPr>
      <w:r w:rsidRPr="0019776A">
        <w:rPr>
          <w:rStyle w:val="Emphasis"/>
          <w:rFonts w:ascii="Arial" w:hAnsi="Arial" w:cs="Arial"/>
          <w:sz w:val="22"/>
          <w:szCs w:val="25"/>
          <w:lang w:val="en-CA"/>
        </w:rPr>
        <w:t>[78]         Based on this conclusion, and on the deeming provision in s. 86(1), Mr. Boltz is vicariously liable for the Accident.  There is no need to consider whether the circumstances of this case would establish vicarious liability at common law: Morrison at para. 23.</w:t>
      </w:r>
    </w:p>
    <w:p w14:paraId="11BD31FD" w14:textId="5F4CD01A" w:rsidR="00071E5E" w:rsidRDefault="00071E5E" w:rsidP="003F0D44">
      <w:pPr>
        <w:pStyle w:val="scjnumber"/>
        <w:numPr>
          <w:ilvl w:val="0"/>
          <w:numId w:val="36"/>
        </w:numPr>
        <w:shd w:val="clear" w:color="auto" w:fill="FFFFFF"/>
        <w:spacing w:before="160" w:beforeAutospacing="0" w:after="240" w:afterAutospacing="0"/>
        <w:jc w:val="both"/>
        <w:rPr>
          <w:rStyle w:val="Hyperlink"/>
          <w:rFonts w:ascii="Arial" w:hAnsi="Arial" w:cs="Arial"/>
          <w:color w:val="auto"/>
          <w:sz w:val="24"/>
          <w:szCs w:val="25"/>
          <w:u w:val="none"/>
        </w:rPr>
      </w:pPr>
      <w:r>
        <w:rPr>
          <w:rStyle w:val="Hyperlink"/>
          <w:rFonts w:ascii="Arial" w:hAnsi="Arial" w:cs="Arial"/>
          <w:color w:val="auto"/>
          <w:sz w:val="24"/>
          <w:szCs w:val="25"/>
          <w:u w:val="none"/>
        </w:rPr>
        <w:t xml:space="preserve">In </w:t>
      </w:r>
      <w:hyperlink r:id="rId65" w:history="1">
        <w:r>
          <w:rPr>
            <w:rStyle w:val="Hyperlink"/>
            <w:rFonts w:ascii="Arial" w:hAnsi="Arial" w:cs="Arial"/>
            <w:sz w:val="24"/>
            <w:szCs w:val="25"/>
          </w:rPr>
          <w:t>2022 BCCA 35</w:t>
        </w:r>
      </w:hyperlink>
      <w:r>
        <w:rPr>
          <w:rStyle w:val="Hyperlink"/>
          <w:rFonts w:ascii="Arial" w:hAnsi="Arial" w:cs="Arial"/>
          <w:color w:val="auto"/>
          <w:sz w:val="24"/>
          <w:szCs w:val="25"/>
          <w:u w:val="none"/>
        </w:rPr>
        <w:t xml:space="preserve">, the </w:t>
      </w:r>
      <w:r w:rsidR="00EF10C2" w:rsidRPr="00071E5E">
        <w:rPr>
          <w:rStyle w:val="Hyperlink"/>
          <w:rFonts w:ascii="Arial" w:hAnsi="Arial" w:cs="Arial"/>
          <w:color w:val="auto"/>
          <w:sz w:val="24"/>
          <w:szCs w:val="25"/>
          <w:u w:val="none"/>
        </w:rPr>
        <w:t xml:space="preserve">Court </w:t>
      </w:r>
      <w:r>
        <w:rPr>
          <w:rStyle w:val="Hyperlink"/>
          <w:rFonts w:ascii="Arial" w:hAnsi="Arial" w:cs="Arial"/>
          <w:color w:val="auto"/>
          <w:sz w:val="24"/>
          <w:szCs w:val="25"/>
          <w:u w:val="none"/>
        </w:rPr>
        <w:t xml:space="preserve">of Appeal </w:t>
      </w:r>
      <w:r w:rsidR="00EF10C2" w:rsidRPr="00071E5E">
        <w:rPr>
          <w:rStyle w:val="Hyperlink"/>
          <w:rFonts w:ascii="Arial" w:hAnsi="Arial" w:cs="Arial"/>
          <w:color w:val="auto"/>
          <w:sz w:val="24"/>
          <w:szCs w:val="25"/>
          <w:u w:val="none"/>
        </w:rPr>
        <w:t xml:space="preserve">found that </w:t>
      </w:r>
      <w:r>
        <w:rPr>
          <w:rStyle w:val="Hyperlink"/>
          <w:rFonts w:ascii="Arial" w:hAnsi="Arial" w:cs="Arial"/>
          <w:color w:val="auto"/>
          <w:sz w:val="24"/>
          <w:szCs w:val="25"/>
          <w:u w:val="none"/>
        </w:rPr>
        <w:t>Voith, J. (as he then was) as trial judge had</w:t>
      </w:r>
      <w:r w:rsidR="00EF10C2" w:rsidRPr="00071E5E">
        <w:rPr>
          <w:rStyle w:val="Hyperlink"/>
          <w:rFonts w:ascii="Arial" w:hAnsi="Arial" w:cs="Arial"/>
          <w:color w:val="auto"/>
          <w:sz w:val="24"/>
          <w:szCs w:val="25"/>
          <w:u w:val="none"/>
        </w:rPr>
        <w:t xml:space="preserve"> erred in construing s. 86(1) of the </w:t>
      </w:r>
      <w:r w:rsidR="00EF10C2" w:rsidRPr="00071E5E">
        <w:rPr>
          <w:rStyle w:val="Hyperlink"/>
          <w:rFonts w:ascii="Arial" w:hAnsi="Arial" w:cs="Arial"/>
          <w:i/>
          <w:iCs/>
          <w:color w:val="auto"/>
          <w:sz w:val="24"/>
          <w:szCs w:val="25"/>
          <w:u w:val="none"/>
        </w:rPr>
        <w:t>MVA</w:t>
      </w:r>
      <w:r w:rsidR="00EF10C2" w:rsidRPr="00071E5E">
        <w:rPr>
          <w:rStyle w:val="Hyperlink"/>
          <w:rFonts w:ascii="Arial" w:hAnsi="Arial" w:cs="Arial"/>
          <w:color w:val="auto"/>
          <w:sz w:val="24"/>
          <w:szCs w:val="25"/>
          <w:u w:val="none"/>
        </w:rPr>
        <w:t xml:space="preserve"> and concluding that Tyson, a front seat passenger</w:t>
      </w:r>
      <w:r w:rsidR="003F0D44">
        <w:rPr>
          <w:rStyle w:val="Hyperlink"/>
          <w:rFonts w:ascii="Arial" w:hAnsi="Arial" w:cs="Arial"/>
          <w:color w:val="auto"/>
          <w:sz w:val="24"/>
          <w:szCs w:val="25"/>
          <w:u w:val="none"/>
        </w:rPr>
        <w:t xml:space="preserve"> at the material time</w:t>
      </w:r>
      <w:r w:rsidR="00EF10C2" w:rsidRPr="00071E5E">
        <w:rPr>
          <w:rStyle w:val="Hyperlink"/>
          <w:rFonts w:ascii="Arial" w:hAnsi="Arial" w:cs="Arial"/>
          <w:color w:val="auto"/>
          <w:sz w:val="24"/>
          <w:szCs w:val="25"/>
          <w:u w:val="none"/>
        </w:rPr>
        <w:t xml:space="preserve">, was “operating” the vehicle at the time of the Accident. </w:t>
      </w:r>
    </w:p>
    <w:p w14:paraId="484EC4B3" w14:textId="77777777" w:rsidR="00071E5E" w:rsidRDefault="00EF10C2" w:rsidP="003F0D44">
      <w:pPr>
        <w:pStyle w:val="scjnumber"/>
        <w:numPr>
          <w:ilvl w:val="1"/>
          <w:numId w:val="36"/>
        </w:numPr>
        <w:shd w:val="clear" w:color="auto" w:fill="FFFFFF"/>
        <w:spacing w:before="160" w:beforeAutospacing="0" w:after="240" w:afterAutospacing="0"/>
        <w:jc w:val="both"/>
        <w:rPr>
          <w:rStyle w:val="Hyperlink"/>
          <w:rFonts w:ascii="Arial" w:hAnsi="Arial" w:cs="Arial"/>
          <w:color w:val="auto"/>
          <w:sz w:val="24"/>
          <w:szCs w:val="25"/>
          <w:u w:val="none"/>
        </w:rPr>
      </w:pPr>
      <w:r w:rsidRPr="00071E5E">
        <w:rPr>
          <w:rStyle w:val="Hyperlink"/>
          <w:rFonts w:ascii="Arial" w:hAnsi="Arial" w:cs="Arial"/>
          <w:color w:val="auto"/>
          <w:sz w:val="24"/>
          <w:szCs w:val="25"/>
          <w:u w:val="none"/>
        </w:rPr>
        <w:t xml:space="preserve">To “operate” a vehicle within the meaning of s. 86(1), the “operator” must generally have physical control over the vehicle. </w:t>
      </w:r>
    </w:p>
    <w:p w14:paraId="21419D17" w14:textId="77777777" w:rsidR="00071E5E" w:rsidRDefault="00EF10C2" w:rsidP="003F0D44">
      <w:pPr>
        <w:pStyle w:val="scjnumber"/>
        <w:numPr>
          <w:ilvl w:val="1"/>
          <w:numId w:val="36"/>
        </w:numPr>
        <w:shd w:val="clear" w:color="auto" w:fill="FFFFFF"/>
        <w:spacing w:before="160" w:beforeAutospacing="0" w:after="240" w:afterAutospacing="0"/>
        <w:jc w:val="both"/>
        <w:rPr>
          <w:rStyle w:val="Hyperlink"/>
          <w:rFonts w:ascii="Arial" w:hAnsi="Arial" w:cs="Arial"/>
          <w:color w:val="auto"/>
          <w:sz w:val="24"/>
          <w:szCs w:val="25"/>
          <w:u w:val="none"/>
        </w:rPr>
      </w:pPr>
      <w:r w:rsidRPr="00071E5E">
        <w:rPr>
          <w:rStyle w:val="Hyperlink"/>
          <w:rFonts w:ascii="Arial" w:hAnsi="Arial" w:cs="Arial"/>
          <w:color w:val="auto"/>
          <w:sz w:val="24"/>
          <w:szCs w:val="25"/>
          <w:u w:val="none"/>
        </w:rPr>
        <w:t xml:space="preserve">At the time of the accident, Tyson did not have physical control over the vehicle. </w:t>
      </w:r>
    </w:p>
    <w:p w14:paraId="675267EC" w14:textId="259F9D09" w:rsidR="00EF10C2" w:rsidRPr="00071E5E" w:rsidRDefault="00071E5E" w:rsidP="003F0D44">
      <w:pPr>
        <w:pStyle w:val="scjnumber"/>
        <w:numPr>
          <w:ilvl w:val="1"/>
          <w:numId w:val="36"/>
        </w:numPr>
        <w:shd w:val="clear" w:color="auto" w:fill="FFFFFF"/>
        <w:spacing w:before="160" w:beforeAutospacing="0" w:after="240" w:afterAutospacing="0"/>
        <w:jc w:val="both"/>
        <w:rPr>
          <w:rStyle w:val="Hyperlink"/>
          <w:rFonts w:ascii="Arial" w:hAnsi="Arial" w:cs="Arial"/>
          <w:color w:val="auto"/>
          <w:sz w:val="24"/>
          <w:szCs w:val="25"/>
          <w:u w:val="none"/>
        </w:rPr>
      </w:pPr>
      <w:r>
        <w:rPr>
          <w:rStyle w:val="Hyperlink"/>
          <w:rFonts w:ascii="Arial" w:hAnsi="Arial" w:cs="Arial"/>
          <w:color w:val="auto"/>
          <w:sz w:val="24"/>
          <w:szCs w:val="25"/>
          <w:u w:val="none"/>
        </w:rPr>
        <w:t xml:space="preserve">The panel </w:t>
      </w:r>
      <w:r w:rsidR="00EF10C2" w:rsidRPr="00071E5E">
        <w:rPr>
          <w:rStyle w:val="Hyperlink"/>
          <w:rFonts w:ascii="Arial" w:hAnsi="Arial" w:cs="Arial"/>
          <w:color w:val="auto"/>
          <w:sz w:val="24"/>
          <w:szCs w:val="25"/>
          <w:u w:val="none"/>
        </w:rPr>
        <w:t xml:space="preserve">rejected the “secondary agency theory” in that Tyson was operating the vehicle as a family member of Mr. Boltz when he allowed Dale to drive (thereby engaging s. 86(1)(a)), and that, as an agent of Mr. Boltz, he consented to Dale driving (thereby engaging s. 86(1)(b)). </w:t>
      </w:r>
    </w:p>
    <w:p w14:paraId="3275F9C2" w14:textId="77777777" w:rsidR="003F0D44" w:rsidRPr="003F0D44" w:rsidRDefault="003F0D44" w:rsidP="003F0D44">
      <w:pPr>
        <w:pStyle w:val="ListParagraph"/>
        <w:spacing w:after="120"/>
        <w:rPr>
          <w:rFonts w:ascii="Arial" w:eastAsia="Times New Roman" w:hAnsi="Arial" w:cs="Arial"/>
          <w:i/>
          <w:iCs/>
          <w:color w:val="000000"/>
          <w:sz w:val="24"/>
          <w:szCs w:val="24"/>
        </w:rPr>
      </w:pPr>
      <w:r w:rsidRPr="003F0D44">
        <w:rPr>
          <w:rFonts w:ascii="Arial" w:eastAsia="Times New Roman" w:hAnsi="Arial" w:cs="Arial"/>
          <w:i/>
          <w:iCs/>
          <w:color w:val="000000"/>
          <w:sz w:val="24"/>
          <w:szCs w:val="24"/>
        </w:rPr>
        <w:t>[</w:t>
      </w:r>
      <w:bookmarkStart w:id="10" w:name="par133"/>
      <w:r w:rsidRPr="003F0D44">
        <w:rPr>
          <w:rFonts w:ascii="Arial" w:eastAsia="Times New Roman" w:hAnsi="Arial" w:cs="Arial"/>
          <w:i/>
          <w:iCs/>
          <w:color w:val="000000"/>
          <w:sz w:val="24"/>
          <w:szCs w:val="24"/>
        </w:rPr>
        <w:t>133</w:t>
      </w:r>
      <w:bookmarkEnd w:id="10"/>
      <w:r w:rsidRPr="003F0D44">
        <w:rPr>
          <w:rFonts w:ascii="Arial" w:eastAsia="Times New Roman" w:hAnsi="Arial" w:cs="Arial"/>
          <w:i/>
          <w:iCs/>
          <w:color w:val="000000"/>
          <w:sz w:val="24"/>
          <w:szCs w:val="24"/>
        </w:rPr>
        <w:t>]</w:t>
      </w:r>
      <w:r w:rsidRPr="003F0D44">
        <w:rPr>
          <w:rFonts w:ascii="Times New Roman" w:eastAsia="Times New Roman" w:hAnsi="Times New Roman" w:cs="Times New Roman"/>
          <w:i/>
          <w:iCs/>
          <w:color w:val="000000"/>
          <w:sz w:val="14"/>
          <w:szCs w:val="14"/>
        </w:rPr>
        <w:t>   </w:t>
      </w:r>
      <w:r w:rsidRPr="003F0D44">
        <w:rPr>
          <w:rFonts w:ascii="Arial" w:eastAsia="Times New Roman" w:hAnsi="Arial" w:cs="Arial"/>
          <w:i/>
          <w:iCs/>
          <w:color w:val="000000"/>
          <w:sz w:val="24"/>
          <w:szCs w:val="24"/>
        </w:rPr>
        <w:t>In my view, Tyson’s secondary agency theory also fails on policy grounds. It would make vehicle owners liable for the negligence of anyone given permission by the owner’s family member to drive or operate the owner’s vehicle, if consent was given while the family member was operating it. In my view, the theory entails a significant expansion of liability that goes beyond achievement of the policy objectives of the provision. As noted in the Law Reform Commission of British Columbia’s Report on Vicarious Liability under the Vehicle Act, 1989, Report No. 106 at 10–11:</w:t>
      </w:r>
    </w:p>
    <w:p w14:paraId="7398BB6C" w14:textId="77777777" w:rsidR="003F0D44" w:rsidRDefault="003F0D44" w:rsidP="003F0D44">
      <w:pPr>
        <w:pStyle w:val="ListParagraph"/>
        <w:spacing w:after="120"/>
        <w:ind w:right="720"/>
        <w:rPr>
          <w:rFonts w:ascii="Arial" w:eastAsia="Times New Roman" w:hAnsi="Arial" w:cs="Arial"/>
          <w:i/>
          <w:iCs/>
          <w:color w:val="000000"/>
        </w:rPr>
      </w:pPr>
    </w:p>
    <w:p w14:paraId="72FB497C" w14:textId="13A6730F" w:rsidR="003F0D44" w:rsidRPr="003F0D44" w:rsidRDefault="003F0D44" w:rsidP="0055073C">
      <w:pPr>
        <w:pStyle w:val="ListParagraph"/>
        <w:spacing w:after="120"/>
        <w:ind w:left="1440" w:right="720"/>
        <w:rPr>
          <w:rFonts w:ascii="Arial" w:eastAsia="Times New Roman" w:hAnsi="Arial" w:cs="Arial"/>
          <w:i/>
          <w:iCs/>
          <w:color w:val="000000"/>
        </w:rPr>
      </w:pPr>
      <w:r w:rsidRPr="003F0D44">
        <w:rPr>
          <w:rFonts w:ascii="Arial" w:eastAsia="Times New Roman" w:hAnsi="Arial" w:cs="Arial"/>
          <w:i/>
          <w:iCs/>
          <w:color w:val="000000"/>
        </w:rPr>
        <w:t>It is the owner who decides who will or will not operate his motor vehicle. He decides the nature and extent of the insurance that is to cover its operation. He is in a position to set down rules as to where, when and how it will be operated. </w:t>
      </w:r>
      <w:r w:rsidRPr="003F0D44">
        <w:rPr>
          <w:rFonts w:ascii="Arial" w:eastAsia="Times New Roman" w:hAnsi="Arial" w:cs="Arial"/>
          <w:i/>
          <w:iCs/>
          <w:color w:val="000000"/>
          <w:u w:val="single"/>
        </w:rPr>
        <w:t>This analysis, however, breaks down if the owner is not in a position to exercise effective supervision and control over the use of a motor vehicle. It is important, therefore, that the concept of ownership employed in subsection 79(1) [now subsection 86(1)] should embrace in some way the notion of effective supervision and control.</w:t>
      </w:r>
    </w:p>
    <w:p w14:paraId="34490D5F" w14:textId="27EE3870" w:rsidR="00FC5026" w:rsidRDefault="003F0D44" w:rsidP="00FC5026">
      <w:pPr>
        <w:pStyle w:val="ListParagraph"/>
        <w:spacing w:after="360"/>
        <w:ind w:right="720" w:firstLine="720"/>
        <w:rPr>
          <w:rFonts w:ascii="Arial" w:eastAsia="Times New Roman" w:hAnsi="Arial" w:cs="Arial"/>
          <w:i/>
          <w:iCs/>
          <w:color w:val="000000"/>
        </w:rPr>
      </w:pPr>
      <w:r w:rsidRPr="003F0D44">
        <w:rPr>
          <w:rFonts w:ascii="Arial" w:eastAsia="Times New Roman" w:hAnsi="Arial" w:cs="Arial"/>
          <w:i/>
          <w:iCs/>
          <w:color w:val="000000"/>
        </w:rPr>
        <w:t>[Emphasis added.]</w:t>
      </w:r>
    </w:p>
    <w:p w14:paraId="3B1E4FFF" w14:textId="77777777" w:rsidR="00167AC1" w:rsidRPr="00C90492" w:rsidRDefault="00167AC1" w:rsidP="00FC5026">
      <w:pPr>
        <w:pStyle w:val="ListParagraph"/>
        <w:spacing w:after="360"/>
        <w:ind w:right="720" w:firstLine="720"/>
        <w:rPr>
          <w:rFonts w:ascii="Arial" w:eastAsia="Times New Roman" w:hAnsi="Arial" w:cs="Arial"/>
          <w:i/>
          <w:iCs/>
        </w:rPr>
      </w:pPr>
    </w:p>
    <w:p w14:paraId="6E5043B9" w14:textId="50CEFE8D" w:rsidR="008D5874" w:rsidRPr="00C90492" w:rsidRDefault="00F125C0" w:rsidP="003F5CEE">
      <w:pPr>
        <w:pStyle w:val="ListParagraph"/>
        <w:numPr>
          <w:ilvl w:val="0"/>
          <w:numId w:val="44"/>
        </w:numPr>
        <w:spacing w:after="360"/>
        <w:ind w:right="720"/>
        <w:rPr>
          <w:rFonts w:ascii="Arial" w:eastAsia="Times New Roman" w:hAnsi="Arial" w:cs="Arial"/>
          <w:i/>
          <w:iCs/>
        </w:rPr>
      </w:pPr>
      <w:r w:rsidRPr="00C90492">
        <w:rPr>
          <w:rFonts w:ascii="Arial" w:eastAsia="Times New Roman" w:hAnsi="Arial" w:cs="Arial"/>
        </w:rPr>
        <w:t>Further, t</w:t>
      </w:r>
      <w:r w:rsidR="00025FC5" w:rsidRPr="00C90492">
        <w:rPr>
          <w:rFonts w:ascii="Arial" w:eastAsia="Times New Roman" w:hAnsi="Arial" w:cs="Arial"/>
        </w:rPr>
        <w:t>he</w:t>
      </w:r>
      <w:r w:rsidR="00FC5026" w:rsidRPr="00C90492">
        <w:rPr>
          <w:rFonts w:ascii="Arial" w:eastAsia="Times New Roman" w:hAnsi="Arial" w:cs="Arial"/>
        </w:rPr>
        <w:t xml:space="preserve"> recent decision of </w:t>
      </w:r>
      <w:r w:rsidR="00F947DB" w:rsidRPr="00C90492">
        <w:rPr>
          <w:rFonts w:ascii="Arial" w:eastAsia="Times New Roman" w:hAnsi="Arial" w:cs="Arial"/>
          <w:i/>
          <w:iCs/>
        </w:rPr>
        <w:t>Mangat</w:t>
      </w:r>
      <w:r w:rsidR="00FC5026" w:rsidRPr="00C90492">
        <w:rPr>
          <w:rFonts w:ascii="Arial" w:eastAsia="Times New Roman" w:hAnsi="Arial" w:cs="Arial"/>
          <w:i/>
          <w:iCs/>
        </w:rPr>
        <w:t xml:space="preserve"> v Lau</w:t>
      </w:r>
      <w:r w:rsidR="00FC5026" w:rsidRPr="00C90492">
        <w:rPr>
          <w:rFonts w:ascii="Arial" w:eastAsia="Times New Roman" w:hAnsi="Arial" w:cs="Arial"/>
        </w:rPr>
        <w:t>, 2024 BCSC 200</w:t>
      </w:r>
      <w:r w:rsidRPr="00C90492">
        <w:rPr>
          <w:rFonts w:ascii="Arial" w:eastAsia="Times New Roman" w:hAnsi="Arial" w:cs="Arial"/>
        </w:rPr>
        <w:t>,</w:t>
      </w:r>
      <w:r w:rsidR="00025FC5" w:rsidRPr="00C90492">
        <w:rPr>
          <w:rFonts w:ascii="Arial" w:eastAsia="Times New Roman" w:hAnsi="Arial" w:cs="Arial"/>
        </w:rPr>
        <w:t xml:space="preserve"> </w:t>
      </w:r>
      <w:r w:rsidR="00063552" w:rsidRPr="00C90492">
        <w:rPr>
          <w:rFonts w:ascii="Arial" w:eastAsia="Times New Roman" w:hAnsi="Arial" w:cs="Arial"/>
        </w:rPr>
        <w:t xml:space="preserve">differentiates between an “owner” and a “registered owner” and highlights that section </w:t>
      </w:r>
      <w:r w:rsidR="00063552" w:rsidRPr="00C90492">
        <w:rPr>
          <w:rFonts w:ascii="Arial" w:eastAsia="Times New Roman" w:hAnsi="Arial" w:cs="Arial"/>
          <w:i/>
          <w:iCs/>
        </w:rPr>
        <w:t>86(1)</w:t>
      </w:r>
      <w:r w:rsidR="00063552" w:rsidRPr="00C90492">
        <w:rPr>
          <w:rFonts w:ascii="Arial" w:eastAsia="Times New Roman" w:hAnsi="Arial" w:cs="Arial"/>
        </w:rPr>
        <w:t xml:space="preserve"> of the </w:t>
      </w:r>
      <w:r w:rsidR="00063552" w:rsidRPr="00C90492">
        <w:rPr>
          <w:rFonts w:ascii="Arial" w:eastAsia="Times New Roman" w:hAnsi="Arial" w:cs="Arial"/>
          <w:i/>
          <w:iCs/>
        </w:rPr>
        <w:t xml:space="preserve">MVA </w:t>
      </w:r>
      <w:r w:rsidR="00063552" w:rsidRPr="00C90492">
        <w:rPr>
          <w:rFonts w:ascii="Arial" w:eastAsia="Times New Roman" w:hAnsi="Arial" w:cs="Arial"/>
        </w:rPr>
        <w:t>refers to an “owner” with regards to vicarious liability.</w:t>
      </w:r>
    </w:p>
    <w:p w14:paraId="58388B03" w14:textId="278D2EFC" w:rsidR="003F5CEE" w:rsidRPr="00C90492" w:rsidRDefault="00063552" w:rsidP="008D5874">
      <w:pPr>
        <w:pStyle w:val="ListParagraph"/>
        <w:spacing w:after="360"/>
        <w:ind w:right="720"/>
        <w:rPr>
          <w:rFonts w:ascii="Arial" w:eastAsia="Times New Roman" w:hAnsi="Arial" w:cs="Arial"/>
          <w:i/>
          <w:iCs/>
        </w:rPr>
      </w:pPr>
      <w:r w:rsidRPr="00C90492">
        <w:rPr>
          <w:rFonts w:ascii="Arial" w:eastAsia="Times New Roman" w:hAnsi="Arial" w:cs="Arial"/>
        </w:rPr>
        <w:t xml:space="preserve"> </w:t>
      </w:r>
    </w:p>
    <w:p w14:paraId="6255512A" w14:textId="1011547B" w:rsidR="008D5874" w:rsidRPr="00C90492" w:rsidRDefault="008D5874" w:rsidP="003F5CEE">
      <w:pPr>
        <w:pStyle w:val="ListParagraph"/>
        <w:numPr>
          <w:ilvl w:val="0"/>
          <w:numId w:val="45"/>
        </w:numPr>
        <w:spacing w:after="360"/>
        <w:ind w:right="720"/>
        <w:rPr>
          <w:rFonts w:ascii="Arial" w:eastAsia="Times New Roman" w:hAnsi="Arial" w:cs="Arial"/>
          <w:i/>
          <w:iCs/>
        </w:rPr>
      </w:pPr>
      <w:r w:rsidRPr="00C90492">
        <w:rPr>
          <w:rFonts w:ascii="Arial" w:eastAsia="Times New Roman" w:hAnsi="Arial" w:cs="Arial"/>
        </w:rPr>
        <w:t>Notwithstanding that the Xerox Canada Inc. (“Xerox Inc”) was the registered owner of the Caravan that the defendant, Mr. Lau was driving, t</w:t>
      </w:r>
      <w:r w:rsidR="00063552" w:rsidRPr="00C90492">
        <w:rPr>
          <w:rFonts w:ascii="Arial" w:eastAsia="Times New Roman" w:hAnsi="Arial" w:cs="Arial"/>
        </w:rPr>
        <w:t xml:space="preserve">he court found that the </w:t>
      </w:r>
      <w:r w:rsidRPr="00C90492">
        <w:rPr>
          <w:rFonts w:ascii="Arial" w:eastAsia="Times New Roman" w:hAnsi="Arial" w:cs="Arial"/>
        </w:rPr>
        <w:t>X</w:t>
      </w:r>
      <w:r w:rsidR="00063552" w:rsidRPr="00C90492">
        <w:rPr>
          <w:rFonts w:ascii="Arial" w:eastAsia="Times New Roman" w:hAnsi="Arial" w:cs="Arial"/>
        </w:rPr>
        <w:t>erox Inc.</w:t>
      </w:r>
      <w:r w:rsidR="003F5CEE" w:rsidRPr="00C90492">
        <w:rPr>
          <w:rFonts w:ascii="Arial" w:eastAsia="Times New Roman" w:hAnsi="Arial" w:cs="Arial"/>
        </w:rPr>
        <w:t xml:space="preserve"> </w:t>
      </w:r>
      <w:r w:rsidR="00063552" w:rsidRPr="00C90492">
        <w:rPr>
          <w:rFonts w:ascii="Arial" w:eastAsia="Times New Roman" w:hAnsi="Arial" w:cs="Arial"/>
        </w:rPr>
        <w:t xml:space="preserve">was not </w:t>
      </w:r>
      <w:r w:rsidRPr="00C90492">
        <w:rPr>
          <w:rFonts w:ascii="Arial" w:eastAsia="Times New Roman" w:hAnsi="Arial" w:cs="Arial"/>
        </w:rPr>
        <w:t xml:space="preserve">vicariously </w:t>
      </w:r>
      <w:r w:rsidR="00063552" w:rsidRPr="00C90492">
        <w:rPr>
          <w:rFonts w:ascii="Arial" w:eastAsia="Times New Roman" w:hAnsi="Arial" w:cs="Arial"/>
        </w:rPr>
        <w:t>liable</w:t>
      </w:r>
      <w:r w:rsidRPr="00C90492">
        <w:rPr>
          <w:rFonts w:ascii="Arial" w:eastAsia="Times New Roman" w:hAnsi="Arial" w:cs="Arial"/>
        </w:rPr>
        <w:t>.</w:t>
      </w:r>
    </w:p>
    <w:p w14:paraId="28E7E640" w14:textId="77777777" w:rsidR="008D5874" w:rsidRPr="00C90492" w:rsidRDefault="008D5874" w:rsidP="008D5874">
      <w:pPr>
        <w:pStyle w:val="ListParagraph"/>
        <w:spacing w:after="360"/>
        <w:ind w:left="1440" w:right="720"/>
        <w:rPr>
          <w:rFonts w:ascii="Arial" w:eastAsia="Times New Roman" w:hAnsi="Arial" w:cs="Arial"/>
          <w:i/>
          <w:iCs/>
        </w:rPr>
      </w:pPr>
    </w:p>
    <w:p w14:paraId="62AB79D7" w14:textId="300836DF" w:rsidR="00063552" w:rsidRPr="00C90492" w:rsidRDefault="008D5874" w:rsidP="003F5CEE">
      <w:pPr>
        <w:pStyle w:val="ListParagraph"/>
        <w:numPr>
          <w:ilvl w:val="0"/>
          <w:numId w:val="45"/>
        </w:numPr>
        <w:spacing w:after="360"/>
        <w:ind w:right="720"/>
        <w:rPr>
          <w:rFonts w:ascii="Arial" w:eastAsia="Times New Roman" w:hAnsi="Arial" w:cs="Arial"/>
          <w:i/>
          <w:iCs/>
        </w:rPr>
      </w:pPr>
      <w:r w:rsidRPr="00C90492">
        <w:rPr>
          <w:rFonts w:ascii="Arial" w:eastAsia="Times New Roman" w:hAnsi="Arial" w:cs="Arial"/>
        </w:rPr>
        <w:t xml:space="preserve">Along with being unsuccessful in proving the factors of possession and consent, the plaintiff was unable to establish that Xerox Inc was </w:t>
      </w:r>
      <w:r w:rsidR="00063552" w:rsidRPr="00C90492">
        <w:rPr>
          <w:rFonts w:ascii="Arial" w:eastAsia="Times New Roman" w:hAnsi="Arial" w:cs="Arial"/>
        </w:rPr>
        <w:t xml:space="preserve">an “owner” of the Caravan as contemplated in s. 86 of the </w:t>
      </w:r>
      <w:r w:rsidR="003F5CEE" w:rsidRPr="00C90492">
        <w:rPr>
          <w:rFonts w:ascii="Arial" w:eastAsia="Times New Roman" w:hAnsi="Arial" w:cs="Arial"/>
          <w:i/>
          <w:iCs/>
        </w:rPr>
        <w:t>MVA.</w:t>
      </w:r>
      <w:r w:rsidR="00063552" w:rsidRPr="00C90492">
        <w:rPr>
          <w:rFonts w:ascii="Arial" w:eastAsia="Times New Roman" w:hAnsi="Arial" w:cs="Arial"/>
          <w:i/>
          <w:iCs/>
        </w:rPr>
        <w:t xml:space="preserve"> </w:t>
      </w:r>
    </w:p>
    <w:p w14:paraId="73C3581B" w14:textId="77777777" w:rsidR="005E52ED" w:rsidRPr="00F125C0" w:rsidRDefault="005E52ED" w:rsidP="00F125C0">
      <w:pPr>
        <w:pStyle w:val="ListParagraph"/>
        <w:spacing w:after="360"/>
        <w:ind w:right="720"/>
        <w:rPr>
          <w:rFonts w:ascii="Arial" w:eastAsia="Times New Roman" w:hAnsi="Arial" w:cs="Arial"/>
          <w:color w:val="000000"/>
        </w:rPr>
      </w:pPr>
    </w:p>
    <w:p w14:paraId="5EFF6F7B" w14:textId="77777777" w:rsidR="007E4960" w:rsidRPr="00B2229D" w:rsidRDefault="007E4960" w:rsidP="007E4960">
      <w:pPr>
        <w:pStyle w:val="Default"/>
        <w:spacing w:after="200"/>
        <w:jc w:val="both"/>
        <w:rPr>
          <w:rStyle w:val="Hyperlink"/>
          <w:rFonts w:ascii="Arial" w:hAnsi="Arial" w:cs="Arial"/>
          <w:b/>
          <w:color w:val="auto"/>
          <w:u w:val="none"/>
          <w:lang w:val="en-CA"/>
        </w:rPr>
      </w:pPr>
      <w:r>
        <w:rPr>
          <w:rStyle w:val="Hyperlink"/>
          <w:rFonts w:ascii="Arial" w:hAnsi="Arial" w:cs="Arial"/>
          <w:b/>
          <w:color w:val="auto"/>
          <w:u w:val="none"/>
          <w:lang w:val="en-CA"/>
        </w:rPr>
        <w:t>Vicarious liability in the context of sexual battery:</w:t>
      </w:r>
    </w:p>
    <w:p w14:paraId="57395326" w14:textId="77777777" w:rsidR="00234C7B" w:rsidRPr="00234C7B" w:rsidRDefault="00234C7B" w:rsidP="00EF10C2">
      <w:pPr>
        <w:pStyle w:val="Default"/>
        <w:numPr>
          <w:ilvl w:val="0"/>
          <w:numId w:val="27"/>
        </w:numPr>
        <w:spacing w:after="200"/>
        <w:jc w:val="both"/>
        <w:rPr>
          <w:rFonts w:ascii="Arial" w:hAnsi="Arial" w:cs="Arial"/>
          <w:color w:val="auto"/>
          <w:lang w:val="en-CA"/>
        </w:rPr>
      </w:pPr>
      <w:r w:rsidRPr="00234C7B">
        <w:rPr>
          <w:rFonts w:ascii="Arial" w:hAnsi="Arial" w:cs="Arial"/>
          <w:i/>
          <w:iCs/>
        </w:rPr>
        <w:t>Bazley v. Curry</w:t>
      </w:r>
      <w:r>
        <w:rPr>
          <w:rFonts w:ascii="Arial" w:hAnsi="Arial" w:cs="Arial"/>
          <w:i/>
          <w:iCs/>
        </w:rPr>
        <w:t xml:space="preserve">, </w:t>
      </w:r>
      <w:hyperlink r:id="rId66" w:history="1">
        <w:r w:rsidRPr="00B62E7E">
          <w:rPr>
            <w:rStyle w:val="Hyperlink"/>
            <w:rFonts w:ascii="Arial" w:hAnsi="Arial" w:cs="Arial"/>
            <w:u w:val="none"/>
            <w:lang w:val="en-CA"/>
          </w:rPr>
          <w:t>[1999] 2 SCR 534</w:t>
        </w:r>
      </w:hyperlink>
      <w:r w:rsidRPr="00234C7B">
        <w:rPr>
          <w:rFonts w:ascii="Arial" w:hAnsi="Arial" w:cs="Arial"/>
        </w:rPr>
        <w:t xml:space="preserve"> sets out the two-step process for determining when an unauthorized act of an employee is sufficiently connected to the employer’s enterprise that vicarious liability should be imposed.  </w:t>
      </w:r>
    </w:p>
    <w:p w14:paraId="6D48D00D" w14:textId="77777777" w:rsidR="00234C7B" w:rsidRPr="00234C7B" w:rsidRDefault="00234C7B" w:rsidP="00234C7B">
      <w:pPr>
        <w:pStyle w:val="Default"/>
        <w:numPr>
          <w:ilvl w:val="1"/>
          <w:numId w:val="27"/>
        </w:numPr>
        <w:spacing w:after="200"/>
        <w:jc w:val="both"/>
        <w:rPr>
          <w:rFonts w:ascii="Arial" w:hAnsi="Arial" w:cs="Arial"/>
          <w:color w:val="auto"/>
          <w:lang w:val="en-CA"/>
        </w:rPr>
      </w:pPr>
      <w:r w:rsidRPr="00234C7B">
        <w:rPr>
          <w:rFonts w:ascii="Arial" w:hAnsi="Arial" w:cs="Arial"/>
        </w:rPr>
        <w:t xml:space="preserve">A court should first determine whether there are precedents which unambiguously determine on which side of the line between vicarious liability and no liability the case falls.  </w:t>
      </w:r>
    </w:p>
    <w:p w14:paraId="70CE1E22" w14:textId="4D37B5DD" w:rsidR="00234C7B" w:rsidRPr="00234C7B" w:rsidRDefault="00234C7B" w:rsidP="00234C7B">
      <w:pPr>
        <w:pStyle w:val="Default"/>
        <w:numPr>
          <w:ilvl w:val="1"/>
          <w:numId w:val="27"/>
        </w:numPr>
        <w:spacing w:after="200"/>
        <w:jc w:val="both"/>
        <w:rPr>
          <w:rFonts w:ascii="Arial" w:hAnsi="Arial" w:cs="Arial"/>
          <w:color w:val="auto"/>
          <w:lang w:val="en-CA"/>
        </w:rPr>
      </w:pPr>
      <w:r w:rsidRPr="00234C7B">
        <w:rPr>
          <w:rFonts w:ascii="Arial" w:hAnsi="Arial" w:cs="Arial"/>
        </w:rPr>
        <w:t>If prior cases do not clearly suggest a solution, the next step is to determine whether vicarious liability should be imposed in light of the broader policy rationales behind strict liability.</w:t>
      </w:r>
    </w:p>
    <w:p w14:paraId="3B354B85" w14:textId="77777777" w:rsidR="00234C7B" w:rsidRPr="00234C7B" w:rsidRDefault="00234C7B" w:rsidP="00234C7B">
      <w:pPr>
        <w:pStyle w:val="ListParagraph"/>
        <w:numPr>
          <w:ilvl w:val="2"/>
          <w:numId w:val="27"/>
        </w:numPr>
        <w:ind w:left="2154" w:hanging="357"/>
        <w:contextualSpacing w:val="0"/>
        <w:jc w:val="both"/>
        <w:rPr>
          <w:rFonts w:ascii="Arial" w:eastAsia="Times New Roman" w:hAnsi="Arial" w:cs="Arial"/>
          <w:color w:val="000000"/>
          <w:sz w:val="24"/>
          <w:szCs w:val="24"/>
          <w:lang w:val="en-CA" w:eastAsia="en-CA"/>
        </w:rPr>
      </w:pPr>
      <w:r w:rsidRPr="00234C7B">
        <w:rPr>
          <w:rFonts w:ascii="Arial" w:eastAsia="Times New Roman" w:hAnsi="Arial" w:cs="Arial"/>
          <w:color w:val="000000"/>
          <w:sz w:val="24"/>
          <w:szCs w:val="24"/>
          <w:lang w:val="en-GB" w:eastAsia="en-CA"/>
        </w:rPr>
        <w:t xml:space="preserve">As to the second phase of the analysis, the imposition of no-fault liability is justified by the policy considerations of compensation and deterrence.  The theory is that a person who employs others to advance his own economic interest should in fairness be placed under a corresponding liability for losses incurred </w:t>
      </w:r>
      <w:proofErr w:type="gramStart"/>
      <w:r w:rsidRPr="00234C7B">
        <w:rPr>
          <w:rFonts w:ascii="Arial" w:eastAsia="Times New Roman" w:hAnsi="Arial" w:cs="Arial"/>
          <w:color w:val="000000"/>
          <w:sz w:val="24"/>
          <w:szCs w:val="24"/>
          <w:lang w:val="en-GB" w:eastAsia="en-CA"/>
        </w:rPr>
        <w:t>in the course of</w:t>
      </w:r>
      <w:proofErr w:type="gramEnd"/>
      <w:r w:rsidRPr="00234C7B">
        <w:rPr>
          <w:rFonts w:ascii="Arial" w:eastAsia="Times New Roman" w:hAnsi="Arial" w:cs="Arial"/>
          <w:color w:val="000000"/>
          <w:sz w:val="24"/>
          <w:szCs w:val="24"/>
          <w:lang w:val="en-GB" w:eastAsia="en-CA"/>
        </w:rPr>
        <w:t xml:space="preserve"> the enterprise.  Non-profit enterprises, however, lack an efficient mechanism to “internalize” such costs.  They do not operate in a market environment and have little or no ability to absorb the cost of such no-fault liability by raising prices to consumers in the usual way to spread the true cost of “doing business”.  Deterrence, which is another key policy reason supporting vicarious liability, also </w:t>
      </w:r>
      <w:proofErr w:type="gramStart"/>
      <w:r w:rsidRPr="00234C7B">
        <w:rPr>
          <w:rFonts w:ascii="Arial" w:eastAsia="Times New Roman" w:hAnsi="Arial" w:cs="Arial"/>
          <w:color w:val="000000"/>
          <w:sz w:val="24"/>
          <w:szCs w:val="24"/>
          <w:lang w:val="en-GB" w:eastAsia="en-CA"/>
        </w:rPr>
        <w:t>has to</w:t>
      </w:r>
      <w:proofErr w:type="gramEnd"/>
      <w:r w:rsidRPr="00234C7B">
        <w:rPr>
          <w:rFonts w:ascii="Arial" w:eastAsia="Times New Roman" w:hAnsi="Arial" w:cs="Arial"/>
          <w:color w:val="000000"/>
          <w:sz w:val="24"/>
          <w:szCs w:val="24"/>
          <w:lang w:val="en-GB" w:eastAsia="en-CA"/>
        </w:rPr>
        <w:t xml:space="preserve"> be assessed with some sensitivity to context, including the nature of the conduct sought to be deterred, the nature of the liability sought to be imposed, and the type of enterprise sought to be rendered liable.  Given the weakness of the policy justification for the expansion of vicarious liability to non-profit organizations, the respondent is entitled to insist that the requirement of a “strong connection” between the enterprise risk and the sexual assault be applied with serious rigour.</w:t>
      </w:r>
    </w:p>
    <w:p w14:paraId="0BCE95DD" w14:textId="77777777" w:rsidR="00234C7B" w:rsidRPr="00234C7B" w:rsidRDefault="00234C7B" w:rsidP="00234C7B">
      <w:pPr>
        <w:pStyle w:val="ListParagraph"/>
        <w:ind w:left="2154"/>
        <w:contextualSpacing w:val="0"/>
        <w:jc w:val="both"/>
        <w:rPr>
          <w:rFonts w:ascii="Arial" w:eastAsia="Times New Roman" w:hAnsi="Arial" w:cs="Arial"/>
          <w:color w:val="000000"/>
          <w:sz w:val="24"/>
          <w:szCs w:val="24"/>
          <w:lang w:val="en-CA" w:eastAsia="en-CA"/>
        </w:rPr>
      </w:pPr>
    </w:p>
    <w:p w14:paraId="4FD1B745" w14:textId="18305E69" w:rsidR="00234C7B" w:rsidRPr="00234C7B" w:rsidRDefault="00234C7B" w:rsidP="00234C7B">
      <w:pPr>
        <w:pStyle w:val="ListParagraph"/>
        <w:numPr>
          <w:ilvl w:val="2"/>
          <w:numId w:val="27"/>
        </w:numPr>
        <w:ind w:left="2154" w:hanging="357"/>
        <w:contextualSpacing w:val="0"/>
        <w:jc w:val="both"/>
        <w:rPr>
          <w:rFonts w:ascii="Arial" w:eastAsia="Times New Roman" w:hAnsi="Arial" w:cs="Arial"/>
          <w:color w:val="000000"/>
          <w:sz w:val="24"/>
          <w:szCs w:val="24"/>
          <w:lang w:val="en-CA" w:eastAsia="en-CA"/>
        </w:rPr>
      </w:pPr>
      <w:r w:rsidRPr="00234C7B">
        <w:rPr>
          <w:rFonts w:ascii="Arial" w:eastAsia="Times New Roman" w:hAnsi="Arial" w:cs="Arial"/>
          <w:color w:val="000000"/>
          <w:sz w:val="24"/>
          <w:szCs w:val="24"/>
          <w:lang w:val="en-GB" w:eastAsia="en-CA"/>
        </w:rPr>
        <w:t>To find a strong connection, there must be</w:t>
      </w:r>
      <w:r>
        <w:rPr>
          <w:rFonts w:ascii="Arial" w:eastAsia="Times New Roman" w:hAnsi="Arial" w:cs="Arial"/>
          <w:color w:val="000000"/>
          <w:sz w:val="24"/>
          <w:szCs w:val="24"/>
          <w:lang w:val="en-GB" w:eastAsia="en-CA"/>
        </w:rPr>
        <w:t xml:space="preserve"> </w:t>
      </w:r>
      <w:r w:rsidRPr="00234C7B">
        <w:rPr>
          <w:rFonts w:ascii="Arial" w:eastAsia="Times New Roman" w:hAnsi="Arial" w:cs="Arial"/>
          <w:b/>
          <w:bCs/>
          <w:color w:val="000000"/>
          <w:sz w:val="24"/>
          <w:szCs w:val="24"/>
          <w:lang w:val="en-GB" w:eastAsia="en-CA"/>
        </w:rPr>
        <w:t xml:space="preserve">a material increase in the risk of harm </w:t>
      </w:r>
      <w:r w:rsidRPr="00234C7B">
        <w:rPr>
          <w:rFonts w:ascii="Arial" w:eastAsia="Times New Roman" w:hAnsi="Arial" w:cs="Arial"/>
          <w:color w:val="000000"/>
          <w:sz w:val="24"/>
          <w:szCs w:val="24"/>
          <w:lang w:val="en-GB" w:eastAsia="en-CA"/>
        </w:rPr>
        <w:t xml:space="preserve">occurring in the sense that the employment significantly contributed to the occurrence of the harm.  </w:t>
      </w:r>
      <w:r>
        <w:rPr>
          <w:rFonts w:ascii="Arial" w:eastAsia="Times New Roman" w:hAnsi="Arial" w:cs="Arial"/>
          <w:color w:val="000000"/>
          <w:sz w:val="24"/>
          <w:szCs w:val="24"/>
          <w:lang w:val="en-GB" w:eastAsia="en-CA"/>
        </w:rPr>
        <w:t xml:space="preserve">i.e. public or private 1:1 time?  Remoteness from the authorized act? </w:t>
      </w:r>
    </w:p>
    <w:p w14:paraId="64BA6EDB" w14:textId="77777777" w:rsidR="00234C7B" w:rsidRPr="00234C7B" w:rsidRDefault="00234C7B" w:rsidP="00234C7B">
      <w:pPr>
        <w:jc w:val="both"/>
        <w:rPr>
          <w:rStyle w:val="Hyperlink"/>
          <w:rFonts w:ascii="Arial" w:eastAsia="Times New Roman" w:hAnsi="Arial" w:cs="Arial"/>
          <w:color w:val="000000"/>
          <w:sz w:val="24"/>
          <w:szCs w:val="24"/>
          <w:u w:val="none"/>
          <w:lang w:val="en-CA" w:eastAsia="en-CA"/>
        </w:rPr>
      </w:pPr>
    </w:p>
    <w:p w14:paraId="1926A9D7" w14:textId="14FE09E4" w:rsidR="007E4960" w:rsidRDefault="007E4960" w:rsidP="00EF10C2">
      <w:pPr>
        <w:pStyle w:val="Default"/>
        <w:numPr>
          <w:ilvl w:val="0"/>
          <w:numId w:val="27"/>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 xml:space="preserve">In </w:t>
      </w:r>
      <w:r w:rsidRPr="005F0942">
        <w:rPr>
          <w:rStyle w:val="Hyperlink"/>
          <w:rFonts w:ascii="Arial" w:hAnsi="Arial" w:cs="Arial"/>
          <w:i/>
          <w:color w:val="auto"/>
          <w:u w:val="none"/>
          <w:lang w:val="en-CA"/>
        </w:rPr>
        <w:t>John Doe (G.E.B. #25) v The Roman Catholic Episcopal Corporation of St. John’s</w:t>
      </w:r>
      <w:r w:rsidRPr="005F0942">
        <w:rPr>
          <w:rStyle w:val="Hyperlink"/>
          <w:rFonts w:ascii="Arial" w:hAnsi="Arial" w:cs="Arial"/>
          <w:color w:val="auto"/>
          <w:u w:val="none"/>
          <w:lang w:val="en-CA"/>
        </w:rPr>
        <w:t xml:space="preserve">, </w:t>
      </w:r>
      <w:hyperlink r:id="rId67" w:history="1">
        <w:r w:rsidRPr="005F0942">
          <w:rPr>
            <w:rStyle w:val="Hyperlink"/>
            <w:rFonts w:ascii="Arial" w:hAnsi="Arial" w:cs="Arial"/>
            <w:u w:val="none"/>
            <w:lang w:val="en-CA"/>
          </w:rPr>
          <w:t>2020 NLCA 27</w:t>
        </w:r>
      </w:hyperlink>
      <w:r w:rsidRPr="005F0942">
        <w:rPr>
          <w:rStyle w:val="Hyperlink"/>
          <w:rFonts w:ascii="Arial" w:hAnsi="Arial" w:cs="Arial"/>
          <w:color w:val="auto"/>
          <w:u w:val="none"/>
          <w:lang w:val="en-CA"/>
        </w:rPr>
        <w:t>,</w:t>
      </w:r>
      <w:r>
        <w:rPr>
          <w:rStyle w:val="Hyperlink"/>
          <w:rFonts w:ascii="Arial" w:hAnsi="Arial" w:cs="Arial"/>
          <w:color w:val="auto"/>
          <w:u w:val="none"/>
          <w:lang w:val="en-CA"/>
        </w:rPr>
        <w:t xml:space="preserve"> the Newfoundland Court of Appeal (NLCA) considered the appeals of four plaintiffs, who claimed that they were sexually abused by members of the Christian Brothers Institute while they were living at the Mount Cashel Orphanage in St. John’s during the 1950s. </w:t>
      </w:r>
    </w:p>
    <w:p w14:paraId="3093D5D4" w14:textId="5528E2FF" w:rsidR="00823E50" w:rsidRDefault="007E4960" w:rsidP="00EF10C2">
      <w:pPr>
        <w:pStyle w:val="Default"/>
        <w:numPr>
          <w:ilvl w:val="0"/>
          <w:numId w:val="27"/>
        </w:numPr>
        <w:spacing w:after="200"/>
        <w:jc w:val="both"/>
        <w:rPr>
          <w:rStyle w:val="Hyperlink"/>
          <w:rFonts w:ascii="Arial" w:hAnsi="Arial" w:cs="Arial"/>
          <w:color w:val="auto"/>
          <w:u w:val="none"/>
          <w:lang w:val="en-CA"/>
        </w:rPr>
      </w:pPr>
      <w:r w:rsidRPr="003B4C60">
        <w:rPr>
          <w:rStyle w:val="Hyperlink"/>
          <w:rFonts w:ascii="Arial" w:hAnsi="Arial" w:cs="Arial"/>
          <w:color w:val="auto"/>
          <w:u w:val="none"/>
          <w:lang w:val="en-CA"/>
        </w:rPr>
        <w:t xml:space="preserve">The issue of whether or not the Roman Catholic Episcopal Corporation of St. John's (the Diocese or Archdiocese) were vicariously liable for the </w:t>
      </w:r>
      <w:r w:rsidR="003B4C60" w:rsidRPr="003B4C60">
        <w:rPr>
          <w:rStyle w:val="Hyperlink"/>
          <w:rFonts w:ascii="Arial" w:hAnsi="Arial" w:cs="Arial"/>
          <w:color w:val="auto"/>
          <w:u w:val="none"/>
          <w:lang w:val="en-CA"/>
        </w:rPr>
        <w:t>abuse</w:t>
      </w:r>
      <w:r w:rsidRPr="003B4C60">
        <w:rPr>
          <w:rStyle w:val="Hyperlink"/>
          <w:rFonts w:ascii="Arial" w:hAnsi="Arial" w:cs="Arial"/>
          <w:color w:val="auto"/>
          <w:u w:val="none"/>
          <w:lang w:val="en-CA"/>
        </w:rPr>
        <w:t xml:space="preserve"> was one of the issue on appeal.</w:t>
      </w:r>
      <w:r w:rsidR="003B4C60" w:rsidRPr="003B4C60">
        <w:rPr>
          <w:rStyle w:val="Hyperlink"/>
          <w:rFonts w:ascii="Arial" w:hAnsi="Arial" w:cs="Arial"/>
          <w:color w:val="auto"/>
          <w:u w:val="none"/>
          <w:lang w:val="en-CA"/>
        </w:rPr>
        <w:t xml:space="preserve"> </w:t>
      </w:r>
    </w:p>
    <w:p w14:paraId="4320A2BF" w14:textId="274F773F" w:rsidR="00B62E7E" w:rsidRPr="0055073C" w:rsidRDefault="007E4960" w:rsidP="0055073C">
      <w:pPr>
        <w:pStyle w:val="Default"/>
        <w:numPr>
          <w:ilvl w:val="0"/>
          <w:numId w:val="27"/>
        </w:numPr>
        <w:spacing w:after="200"/>
        <w:jc w:val="both"/>
        <w:rPr>
          <w:rStyle w:val="Hyperlink"/>
          <w:rFonts w:ascii="Arial" w:hAnsi="Arial" w:cs="Arial"/>
          <w:color w:val="auto"/>
          <w:u w:val="none"/>
          <w:lang w:val="en-CA"/>
        </w:rPr>
      </w:pPr>
      <w:r w:rsidRPr="003B4C60">
        <w:rPr>
          <w:rStyle w:val="Hyperlink"/>
          <w:rFonts w:ascii="Arial" w:hAnsi="Arial" w:cs="Arial"/>
          <w:color w:val="auto"/>
          <w:u w:val="none"/>
          <w:lang w:val="en-CA"/>
        </w:rPr>
        <w:t xml:space="preserve">In the </w:t>
      </w:r>
      <w:r w:rsidRPr="003B4C60">
        <w:rPr>
          <w:rStyle w:val="Hyperlink"/>
          <w:rFonts w:ascii="Arial" w:hAnsi="Arial" w:cs="Arial"/>
          <w:i/>
          <w:color w:val="auto"/>
          <w:u w:val="none"/>
          <w:lang w:val="en-CA"/>
        </w:rPr>
        <w:t xml:space="preserve">per </w:t>
      </w:r>
      <w:proofErr w:type="spellStart"/>
      <w:r w:rsidRPr="003B4C60">
        <w:rPr>
          <w:rStyle w:val="Hyperlink"/>
          <w:rFonts w:ascii="Arial" w:hAnsi="Arial" w:cs="Arial"/>
          <w:i/>
          <w:color w:val="auto"/>
          <w:u w:val="none"/>
          <w:lang w:val="en-CA"/>
        </w:rPr>
        <w:t>curiam</w:t>
      </w:r>
      <w:proofErr w:type="spellEnd"/>
      <w:r w:rsidRPr="003B4C60">
        <w:rPr>
          <w:rStyle w:val="Hyperlink"/>
          <w:rFonts w:ascii="Arial" w:hAnsi="Arial" w:cs="Arial"/>
          <w:i/>
          <w:color w:val="auto"/>
          <w:u w:val="none"/>
          <w:lang w:val="en-CA"/>
        </w:rPr>
        <w:t xml:space="preserve"> </w:t>
      </w:r>
      <w:r w:rsidRPr="003B4C60">
        <w:rPr>
          <w:rStyle w:val="Hyperlink"/>
          <w:rFonts w:ascii="Arial" w:hAnsi="Arial" w:cs="Arial"/>
          <w:color w:val="auto"/>
          <w:u w:val="none"/>
          <w:lang w:val="en-CA"/>
        </w:rPr>
        <w:t xml:space="preserve">judgement, the NLCA reviewed the principles of vicarious liability in the context of sexual battery </w:t>
      </w:r>
      <w:r w:rsidR="00823E50">
        <w:rPr>
          <w:rStyle w:val="Hyperlink"/>
          <w:rFonts w:ascii="Arial" w:hAnsi="Arial" w:cs="Arial"/>
          <w:color w:val="auto"/>
          <w:u w:val="none"/>
          <w:lang w:val="en-CA"/>
        </w:rPr>
        <w:t xml:space="preserve">from the Supreme Court of Canada’s jurisprudence </w:t>
      </w:r>
      <w:r w:rsidRPr="003B4C60">
        <w:rPr>
          <w:rStyle w:val="Hyperlink"/>
          <w:rFonts w:ascii="Arial" w:hAnsi="Arial" w:cs="Arial"/>
          <w:color w:val="auto"/>
          <w:u w:val="none"/>
          <w:lang w:val="en-CA"/>
        </w:rPr>
        <w:t>at paras. 45-73.</w:t>
      </w:r>
      <w:r w:rsidR="0055073C">
        <w:rPr>
          <w:rStyle w:val="Hyperlink"/>
          <w:rFonts w:ascii="Arial" w:hAnsi="Arial" w:cs="Arial"/>
          <w:color w:val="auto"/>
          <w:u w:val="none"/>
          <w:lang w:val="en-CA"/>
        </w:rPr>
        <w:t xml:space="preserve"> </w:t>
      </w:r>
      <w:r w:rsidR="00B62E7E" w:rsidRPr="0055073C">
        <w:rPr>
          <w:rStyle w:val="Hyperlink"/>
          <w:rFonts w:ascii="Arial" w:hAnsi="Arial" w:cs="Arial"/>
          <w:color w:val="auto"/>
          <w:u w:val="none"/>
          <w:lang w:val="en-CA"/>
        </w:rPr>
        <w:t>This include</w:t>
      </w:r>
      <w:r w:rsidR="0055073C">
        <w:rPr>
          <w:rStyle w:val="Hyperlink"/>
          <w:rFonts w:ascii="Arial" w:hAnsi="Arial" w:cs="Arial"/>
          <w:color w:val="auto"/>
          <w:u w:val="none"/>
          <w:lang w:val="en-CA"/>
        </w:rPr>
        <w:t>d</w:t>
      </w:r>
      <w:r w:rsidR="00B62E7E" w:rsidRPr="0055073C">
        <w:rPr>
          <w:rStyle w:val="Hyperlink"/>
          <w:rFonts w:ascii="Arial" w:hAnsi="Arial" w:cs="Arial"/>
          <w:color w:val="auto"/>
          <w:u w:val="none"/>
          <w:lang w:val="en-CA"/>
        </w:rPr>
        <w:t xml:space="preserve"> a </w:t>
      </w:r>
      <w:r w:rsidR="00554AE5" w:rsidRPr="0055073C">
        <w:rPr>
          <w:rStyle w:val="Hyperlink"/>
          <w:rFonts w:ascii="Arial" w:hAnsi="Arial" w:cs="Arial"/>
          <w:color w:val="auto"/>
          <w:u w:val="none"/>
          <w:lang w:val="en-CA"/>
        </w:rPr>
        <w:t xml:space="preserve">summary </w:t>
      </w:r>
      <w:r w:rsidR="00B62E7E" w:rsidRPr="0055073C">
        <w:rPr>
          <w:rStyle w:val="Hyperlink"/>
          <w:rFonts w:ascii="Arial" w:hAnsi="Arial" w:cs="Arial"/>
          <w:color w:val="auto"/>
          <w:u w:val="none"/>
          <w:lang w:val="en-CA"/>
        </w:rPr>
        <w:t>of the principles</w:t>
      </w:r>
      <w:r w:rsidR="00554AE5" w:rsidRPr="0055073C">
        <w:rPr>
          <w:rStyle w:val="Hyperlink"/>
          <w:rFonts w:ascii="Arial" w:hAnsi="Arial" w:cs="Arial"/>
          <w:color w:val="auto"/>
          <w:u w:val="none"/>
          <w:lang w:val="en-CA"/>
        </w:rPr>
        <w:t xml:space="preserve"> of vicarious liability</w:t>
      </w:r>
      <w:r w:rsidR="00B62E7E" w:rsidRPr="0055073C">
        <w:rPr>
          <w:rStyle w:val="Hyperlink"/>
          <w:rFonts w:ascii="Arial" w:hAnsi="Arial" w:cs="Arial"/>
          <w:color w:val="auto"/>
          <w:u w:val="none"/>
          <w:lang w:val="en-CA"/>
        </w:rPr>
        <w:t xml:space="preserve"> from the following cases:</w:t>
      </w:r>
    </w:p>
    <w:p w14:paraId="1A7F81BC" w14:textId="064AF9B4" w:rsidR="00B62E7E" w:rsidRDefault="00B62E7E" w:rsidP="00EF10C2">
      <w:pPr>
        <w:pStyle w:val="Default"/>
        <w:numPr>
          <w:ilvl w:val="1"/>
          <w:numId w:val="27"/>
        </w:numPr>
        <w:spacing w:after="200"/>
        <w:jc w:val="both"/>
        <w:rPr>
          <w:rStyle w:val="Hyperlink"/>
          <w:rFonts w:ascii="Arial" w:hAnsi="Arial" w:cs="Arial"/>
          <w:color w:val="auto"/>
          <w:u w:val="none"/>
          <w:lang w:val="en-CA"/>
        </w:rPr>
      </w:pPr>
      <w:r w:rsidRPr="00B62E7E">
        <w:rPr>
          <w:rStyle w:val="Hyperlink"/>
          <w:rFonts w:ascii="Arial" w:hAnsi="Arial" w:cs="Arial"/>
          <w:i/>
          <w:color w:val="auto"/>
          <w:u w:val="none"/>
          <w:lang w:val="en-CA"/>
        </w:rPr>
        <w:t>671122 Ontario Ltd. v. Sagaz Industries Canada Inc.,</w:t>
      </w:r>
      <w:r w:rsidRPr="00B62E7E">
        <w:rPr>
          <w:rStyle w:val="Hyperlink"/>
          <w:rFonts w:ascii="Arial" w:hAnsi="Arial" w:cs="Arial"/>
          <w:color w:val="auto"/>
          <w:u w:val="none"/>
          <w:lang w:val="en-CA"/>
        </w:rPr>
        <w:t xml:space="preserve"> </w:t>
      </w:r>
      <w:hyperlink r:id="rId68" w:history="1">
        <w:r w:rsidRPr="00B62E7E">
          <w:rPr>
            <w:rStyle w:val="Hyperlink"/>
            <w:rFonts w:ascii="Arial" w:hAnsi="Arial" w:cs="Arial"/>
            <w:u w:val="none"/>
            <w:lang w:val="en-CA"/>
          </w:rPr>
          <w:t>2001 SCC 59</w:t>
        </w:r>
      </w:hyperlink>
      <w:r>
        <w:rPr>
          <w:rStyle w:val="Hyperlink"/>
          <w:rFonts w:ascii="Arial" w:hAnsi="Arial" w:cs="Arial"/>
          <w:color w:val="auto"/>
          <w:u w:val="none"/>
          <w:lang w:val="en-CA"/>
        </w:rPr>
        <w:t xml:space="preserve"> – vicarious liability in general (paras. 46-49 of </w:t>
      </w:r>
      <w:r>
        <w:rPr>
          <w:rStyle w:val="Hyperlink"/>
          <w:rFonts w:ascii="Arial" w:hAnsi="Arial" w:cs="Arial"/>
          <w:i/>
          <w:color w:val="auto"/>
          <w:u w:val="none"/>
          <w:lang w:val="en-CA"/>
        </w:rPr>
        <w:t>John Doe</w:t>
      </w:r>
      <w:r>
        <w:rPr>
          <w:rStyle w:val="Hyperlink"/>
          <w:rFonts w:ascii="Arial" w:hAnsi="Arial" w:cs="Arial"/>
          <w:color w:val="auto"/>
          <w:u w:val="none"/>
          <w:lang w:val="en-CA"/>
        </w:rPr>
        <w:t>);</w:t>
      </w:r>
    </w:p>
    <w:p w14:paraId="6E1BAA9E" w14:textId="72CE8C6B" w:rsidR="00B62E7E" w:rsidRDefault="00B62E7E" w:rsidP="00EF10C2">
      <w:pPr>
        <w:pStyle w:val="Default"/>
        <w:numPr>
          <w:ilvl w:val="1"/>
          <w:numId w:val="27"/>
        </w:numPr>
        <w:spacing w:after="200"/>
        <w:jc w:val="both"/>
        <w:rPr>
          <w:rStyle w:val="Hyperlink"/>
          <w:rFonts w:ascii="Arial" w:hAnsi="Arial" w:cs="Arial"/>
          <w:color w:val="auto"/>
          <w:u w:val="none"/>
          <w:lang w:val="en-CA"/>
        </w:rPr>
      </w:pPr>
      <w:r w:rsidRPr="00B62E7E">
        <w:rPr>
          <w:rStyle w:val="Hyperlink"/>
          <w:rFonts w:ascii="Arial" w:hAnsi="Arial" w:cs="Arial"/>
          <w:i/>
          <w:color w:val="auto"/>
          <w:u w:val="none"/>
          <w:lang w:val="en-CA"/>
        </w:rPr>
        <w:t>Bazley v. Curry</w:t>
      </w:r>
      <w:r w:rsidRPr="00B62E7E">
        <w:rPr>
          <w:rStyle w:val="Hyperlink"/>
          <w:rFonts w:ascii="Arial" w:hAnsi="Arial" w:cs="Arial"/>
          <w:color w:val="auto"/>
          <w:u w:val="none"/>
          <w:lang w:val="en-CA"/>
        </w:rPr>
        <w:t xml:space="preserve">, </w:t>
      </w:r>
      <w:hyperlink r:id="rId69" w:history="1">
        <w:r w:rsidRPr="00B62E7E">
          <w:rPr>
            <w:rStyle w:val="Hyperlink"/>
            <w:rFonts w:ascii="Arial" w:hAnsi="Arial" w:cs="Arial"/>
            <w:u w:val="none"/>
            <w:lang w:val="en-CA"/>
          </w:rPr>
          <w:t>[1999] 2 SCR 534</w:t>
        </w:r>
      </w:hyperlink>
      <w:r>
        <w:rPr>
          <w:rStyle w:val="Hyperlink"/>
          <w:rFonts w:ascii="Arial" w:hAnsi="Arial" w:cs="Arial"/>
          <w:color w:val="auto"/>
          <w:u w:val="none"/>
          <w:lang w:val="en-CA"/>
        </w:rPr>
        <w:t xml:space="preserve"> – </w:t>
      </w:r>
    </w:p>
    <w:p w14:paraId="06DC091B" w14:textId="24385608" w:rsidR="00BB359D" w:rsidRPr="00E969C4" w:rsidRDefault="00BB359D" w:rsidP="00EF10C2">
      <w:pPr>
        <w:pStyle w:val="Default"/>
        <w:numPr>
          <w:ilvl w:val="1"/>
          <w:numId w:val="27"/>
        </w:numPr>
        <w:spacing w:after="200"/>
        <w:jc w:val="both"/>
        <w:rPr>
          <w:rStyle w:val="Hyperlink"/>
          <w:rFonts w:ascii="Arial" w:hAnsi="Arial" w:cs="Arial"/>
          <w:color w:val="auto"/>
          <w:u w:val="none"/>
          <w:lang w:val="en-CA"/>
        </w:rPr>
      </w:pPr>
      <w:bookmarkStart w:id="11" w:name="_Hlk155109638"/>
      <w:r w:rsidRPr="00E969C4">
        <w:rPr>
          <w:rStyle w:val="Hyperlink"/>
          <w:rFonts w:ascii="Arial" w:hAnsi="Arial" w:cs="Arial"/>
          <w:i/>
          <w:color w:val="auto"/>
          <w:u w:val="none"/>
          <w:lang w:val="en-CA"/>
        </w:rPr>
        <w:t xml:space="preserve">Jacobi v. Griffiths, </w:t>
      </w:r>
      <w:hyperlink r:id="rId70" w:history="1">
        <w:r w:rsidRPr="00E969C4">
          <w:rPr>
            <w:rStyle w:val="Hyperlink"/>
            <w:rFonts w:ascii="Arial" w:hAnsi="Arial" w:cs="Arial"/>
            <w:iCs/>
            <w:lang w:val="en-CA"/>
          </w:rPr>
          <w:t>[1999] 2 SCR 570</w:t>
        </w:r>
      </w:hyperlink>
      <w:r w:rsidRPr="00E969C4">
        <w:rPr>
          <w:rStyle w:val="Hyperlink"/>
          <w:rFonts w:ascii="Arial" w:hAnsi="Arial" w:cs="Arial"/>
          <w:i/>
          <w:color w:val="auto"/>
          <w:u w:val="none"/>
          <w:lang w:val="en-CA"/>
        </w:rPr>
        <w:t xml:space="preserve"> </w:t>
      </w:r>
    </w:p>
    <w:bookmarkEnd w:id="11"/>
    <w:p w14:paraId="6C3D9294" w14:textId="78EDCAB2" w:rsidR="00B62E7E" w:rsidRDefault="00B62E7E" w:rsidP="00EF10C2">
      <w:pPr>
        <w:pStyle w:val="Default"/>
        <w:numPr>
          <w:ilvl w:val="1"/>
          <w:numId w:val="27"/>
        </w:numPr>
        <w:spacing w:after="200"/>
        <w:jc w:val="both"/>
        <w:rPr>
          <w:rStyle w:val="Hyperlink"/>
          <w:rFonts w:ascii="Arial" w:hAnsi="Arial" w:cs="Arial"/>
          <w:color w:val="auto"/>
          <w:u w:val="none"/>
          <w:lang w:val="en-CA"/>
        </w:rPr>
      </w:pPr>
      <w:r w:rsidRPr="00E72B1A">
        <w:rPr>
          <w:rStyle w:val="Hyperlink"/>
          <w:rFonts w:ascii="Arial" w:hAnsi="Arial" w:cs="Arial"/>
          <w:i/>
          <w:color w:val="auto"/>
          <w:u w:val="none"/>
          <w:lang w:val="en-CA"/>
        </w:rPr>
        <w:t>K.L.B. v. British Columbia</w:t>
      </w:r>
      <w:r w:rsidRPr="00B62E7E">
        <w:rPr>
          <w:rStyle w:val="Hyperlink"/>
          <w:rFonts w:ascii="Arial" w:hAnsi="Arial" w:cs="Arial"/>
          <w:color w:val="auto"/>
          <w:u w:val="none"/>
          <w:lang w:val="en-CA"/>
        </w:rPr>
        <w:t xml:space="preserve">, </w:t>
      </w:r>
      <w:hyperlink r:id="rId71" w:history="1">
        <w:r w:rsidRPr="00E72B1A">
          <w:rPr>
            <w:rStyle w:val="Hyperlink"/>
            <w:rFonts w:ascii="Arial" w:hAnsi="Arial" w:cs="Arial"/>
            <w:u w:val="none"/>
            <w:lang w:val="en-CA"/>
          </w:rPr>
          <w:t>2003 SCC 51</w:t>
        </w:r>
      </w:hyperlink>
      <w:r w:rsidR="00E72B1A">
        <w:rPr>
          <w:rStyle w:val="Hyperlink"/>
          <w:rFonts w:ascii="Arial" w:hAnsi="Arial" w:cs="Arial"/>
          <w:color w:val="auto"/>
          <w:u w:val="none"/>
          <w:lang w:val="en-CA"/>
        </w:rPr>
        <w:t xml:space="preserve"> – </w:t>
      </w:r>
    </w:p>
    <w:p w14:paraId="64E2796D" w14:textId="5586092C" w:rsidR="00E72B1A" w:rsidRPr="00823E50" w:rsidRDefault="00E72B1A" w:rsidP="00EF10C2">
      <w:pPr>
        <w:pStyle w:val="Default"/>
        <w:numPr>
          <w:ilvl w:val="1"/>
          <w:numId w:val="27"/>
        </w:numPr>
        <w:spacing w:after="200"/>
        <w:jc w:val="both"/>
        <w:rPr>
          <w:rStyle w:val="Hyperlink"/>
          <w:rFonts w:ascii="Arial" w:hAnsi="Arial" w:cs="Arial"/>
          <w:color w:val="auto"/>
          <w:u w:val="none"/>
          <w:lang w:val="en-CA"/>
        </w:rPr>
      </w:pPr>
      <w:r w:rsidRPr="00E72B1A">
        <w:rPr>
          <w:rStyle w:val="Hyperlink"/>
          <w:rFonts w:ascii="Arial" w:hAnsi="Arial" w:cs="Arial"/>
          <w:i/>
          <w:color w:val="auto"/>
          <w:u w:val="none"/>
          <w:lang w:val="en-CA"/>
        </w:rPr>
        <w:t xml:space="preserve">John Doe v. Bennett, </w:t>
      </w:r>
      <w:hyperlink r:id="rId72" w:history="1">
        <w:r w:rsidRPr="00E72B1A">
          <w:rPr>
            <w:rStyle w:val="Hyperlink"/>
            <w:rFonts w:ascii="Arial" w:hAnsi="Arial" w:cs="Arial"/>
            <w:u w:val="none"/>
            <w:lang w:val="en-CA"/>
          </w:rPr>
          <w:t>2004 SCC 17</w:t>
        </w:r>
      </w:hyperlink>
      <w:r>
        <w:rPr>
          <w:rStyle w:val="Hyperlink"/>
          <w:rFonts w:ascii="Arial" w:hAnsi="Arial" w:cs="Arial"/>
          <w:color w:val="auto"/>
          <w:u w:val="none"/>
          <w:lang w:val="en-CA"/>
        </w:rPr>
        <w:t xml:space="preserve"> – </w:t>
      </w:r>
    </w:p>
    <w:p w14:paraId="48F4D0C7" w14:textId="121AB63A" w:rsidR="00E72B1A" w:rsidRDefault="00E72B1A" w:rsidP="00EF10C2">
      <w:pPr>
        <w:pStyle w:val="Default"/>
        <w:numPr>
          <w:ilvl w:val="1"/>
          <w:numId w:val="27"/>
        </w:numPr>
        <w:spacing w:after="200"/>
        <w:jc w:val="both"/>
        <w:rPr>
          <w:rStyle w:val="Hyperlink"/>
          <w:rFonts w:ascii="Arial" w:hAnsi="Arial" w:cs="Arial"/>
          <w:color w:val="auto"/>
          <w:u w:val="none"/>
          <w:lang w:val="en-CA"/>
        </w:rPr>
      </w:pPr>
      <w:r w:rsidRPr="00E72B1A">
        <w:rPr>
          <w:rStyle w:val="Hyperlink"/>
          <w:rFonts w:ascii="Arial" w:hAnsi="Arial" w:cs="Arial"/>
          <w:i/>
          <w:color w:val="auto"/>
          <w:u w:val="none"/>
          <w:lang w:val="en-CA"/>
        </w:rPr>
        <w:t>Broome v. Prince Edward Island</w:t>
      </w:r>
      <w:r w:rsidRPr="00E72B1A">
        <w:rPr>
          <w:rStyle w:val="Hyperlink"/>
          <w:rFonts w:ascii="Arial" w:hAnsi="Arial" w:cs="Arial"/>
          <w:color w:val="auto"/>
          <w:u w:val="none"/>
          <w:lang w:val="en-CA"/>
        </w:rPr>
        <w:t xml:space="preserve">, </w:t>
      </w:r>
      <w:hyperlink r:id="rId73" w:history="1">
        <w:r w:rsidRPr="00E72B1A">
          <w:rPr>
            <w:rStyle w:val="Hyperlink"/>
            <w:rFonts w:ascii="Arial" w:hAnsi="Arial" w:cs="Arial"/>
            <w:u w:val="none"/>
            <w:lang w:val="en-CA"/>
          </w:rPr>
          <w:t>2010 SCC 11</w:t>
        </w:r>
      </w:hyperlink>
      <w:r>
        <w:rPr>
          <w:rStyle w:val="Hyperlink"/>
          <w:rFonts w:ascii="Arial" w:hAnsi="Arial" w:cs="Arial"/>
          <w:color w:val="auto"/>
          <w:u w:val="none"/>
          <w:lang w:val="en-CA"/>
        </w:rPr>
        <w:t xml:space="preserve"> –</w:t>
      </w:r>
      <w:r w:rsidR="00E71B4A">
        <w:rPr>
          <w:rStyle w:val="Hyperlink"/>
          <w:rFonts w:ascii="Arial" w:hAnsi="Arial" w:cs="Arial"/>
          <w:color w:val="auto"/>
          <w:u w:val="none"/>
          <w:lang w:val="en-CA"/>
        </w:rPr>
        <w:t xml:space="preserve"> </w:t>
      </w:r>
    </w:p>
    <w:p w14:paraId="6AA4535B" w14:textId="25CD8F5C" w:rsidR="00E71B4A" w:rsidRDefault="00E71B4A" w:rsidP="00EF10C2">
      <w:pPr>
        <w:pStyle w:val="Default"/>
        <w:numPr>
          <w:ilvl w:val="1"/>
          <w:numId w:val="27"/>
        </w:numPr>
        <w:spacing w:after="200"/>
        <w:jc w:val="both"/>
        <w:rPr>
          <w:rStyle w:val="Hyperlink"/>
          <w:rFonts w:ascii="Arial" w:hAnsi="Arial" w:cs="Arial"/>
          <w:color w:val="auto"/>
          <w:u w:val="none"/>
          <w:lang w:val="en-CA"/>
        </w:rPr>
      </w:pPr>
      <w:r w:rsidRPr="00E71B4A">
        <w:rPr>
          <w:rStyle w:val="Hyperlink"/>
          <w:rFonts w:ascii="Arial" w:hAnsi="Arial" w:cs="Arial"/>
          <w:i/>
          <w:color w:val="auto"/>
          <w:u w:val="none"/>
          <w:lang w:val="en-CA"/>
        </w:rPr>
        <w:t>Blackwater v. Plint</w:t>
      </w:r>
      <w:r w:rsidRPr="00E71B4A">
        <w:rPr>
          <w:rStyle w:val="Hyperlink"/>
          <w:rFonts w:ascii="Arial" w:hAnsi="Arial" w:cs="Arial"/>
          <w:color w:val="auto"/>
          <w:u w:val="none"/>
          <w:lang w:val="en-CA"/>
        </w:rPr>
        <w:t xml:space="preserve">, </w:t>
      </w:r>
      <w:hyperlink r:id="rId74" w:history="1">
        <w:r w:rsidRPr="00E71B4A">
          <w:rPr>
            <w:rStyle w:val="Hyperlink"/>
            <w:rFonts w:ascii="Arial" w:hAnsi="Arial" w:cs="Arial"/>
            <w:u w:val="none"/>
            <w:lang w:val="en-CA"/>
          </w:rPr>
          <w:t>2005 SCC 58</w:t>
        </w:r>
      </w:hyperlink>
      <w:r>
        <w:rPr>
          <w:rStyle w:val="Hyperlink"/>
          <w:rFonts w:ascii="Arial" w:hAnsi="Arial" w:cs="Arial"/>
          <w:color w:val="auto"/>
          <w:u w:val="none"/>
          <w:lang w:val="en-CA"/>
        </w:rPr>
        <w:t xml:space="preserve"> – </w:t>
      </w:r>
    </w:p>
    <w:p w14:paraId="77B7195D" w14:textId="26EA9B7D" w:rsidR="00E71B4A" w:rsidRDefault="00E71B4A" w:rsidP="00EF10C2">
      <w:pPr>
        <w:pStyle w:val="Default"/>
        <w:numPr>
          <w:ilvl w:val="0"/>
          <w:numId w:val="27"/>
        </w:numPr>
        <w:spacing w:after="200"/>
        <w:jc w:val="both"/>
        <w:rPr>
          <w:rStyle w:val="Hyperlink"/>
          <w:rFonts w:ascii="Arial" w:hAnsi="Arial" w:cs="Arial"/>
          <w:color w:val="auto"/>
          <w:u w:val="none"/>
          <w:lang w:val="en-CA"/>
        </w:rPr>
      </w:pPr>
      <w:r>
        <w:rPr>
          <w:rStyle w:val="Hyperlink"/>
          <w:rFonts w:ascii="Arial" w:hAnsi="Arial" w:cs="Arial"/>
          <w:color w:val="auto"/>
          <w:u w:val="none"/>
          <w:lang w:val="en-CA"/>
        </w:rPr>
        <w:t>At para</w:t>
      </w:r>
      <w:r w:rsidR="00E969C4">
        <w:rPr>
          <w:rStyle w:val="Hyperlink"/>
          <w:rFonts w:ascii="Arial" w:hAnsi="Arial" w:cs="Arial"/>
          <w:color w:val="auto"/>
          <w:u w:val="none"/>
          <w:lang w:val="en-CA"/>
        </w:rPr>
        <w:t>s</w:t>
      </w:r>
      <w:r>
        <w:rPr>
          <w:rStyle w:val="Hyperlink"/>
          <w:rFonts w:ascii="Arial" w:hAnsi="Arial" w:cs="Arial"/>
          <w:color w:val="auto"/>
          <w:u w:val="none"/>
          <w:lang w:val="en-CA"/>
        </w:rPr>
        <w:t>. 18</w:t>
      </w:r>
      <w:r w:rsidR="00E969C4">
        <w:rPr>
          <w:rStyle w:val="Hyperlink"/>
          <w:rFonts w:ascii="Arial" w:hAnsi="Arial" w:cs="Arial"/>
          <w:color w:val="auto"/>
          <w:u w:val="none"/>
          <w:lang w:val="en-CA"/>
        </w:rPr>
        <w:t>4-18</w:t>
      </w:r>
      <w:r>
        <w:rPr>
          <w:rStyle w:val="Hyperlink"/>
          <w:rFonts w:ascii="Arial" w:hAnsi="Arial" w:cs="Arial"/>
          <w:color w:val="auto"/>
          <w:u w:val="none"/>
          <w:lang w:val="en-CA"/>
        </w:rPr>
        <w:t xml:space="preserve">5, the NLCA </w:t>
      </w:r>
      <w:r w:rsidR="00554AE5">
        <w:rPr>
          <w:rStyle w:val="Hyperlink"/>
          <w:rFonts w:ascii="Arial" w:hAnsi="Arial" w:cs="Arial"/>
          <w:color w:val="auto"/>
          <w:u w:val="none"/>
          <w:lang w:val="en-CA"/>
        </w:rPr>
        <w:t xml:space="preserve">applied these principles and </w:t>
      </w:r>
      <w:r>
        <w:rPr>
          <w:rStyle w:val="Hyperlink"/>
          <w:rFonts w:ascii="Arial" w:hAnsi="Arial" w:cs="Arial"/>
          <w:color w:val="auto"/>
          <w:u w:val="none"/>
          <w:lang w:val="en-CA"/>
        </w:rPr>
        <w:t>ultimately found that the trial judge’s decision to not find the Archdiocese of St. John’s vicariously liable constituted a palpable and overriding error</w:t>
      </w:r>
      <w:r w:rsidR="00E969C4">
        <w:rPr>
          <w:rStyle w:val="Hyperlink"/>
          <w:rFonts w:ascii="Arial" w:hAnsi="Arial" w:cs="Arial"/>
          <w:color w:val="auto"/>
          <w:u w:val="none"/>
          <w:lang w:val="en-CA"/>
        </w:rPr>
        <w:t>, because it was sufficiently connected to the enterprise:</w:t>
      </w:r>
    </w:p>
    <w:p w14:paraId="16880B32" w14:textId="77777777" w:rsidR="00E969C4" w:rsidRPr="00E969C4" w:rsidRDefault="00E969C4" w:rsidP="00E969C4">
      <w:pPr>
        <w:pStyle w:val="level1"/>
        <w:spacing w:before="240" w:beforeAutospacing="0" w:after="240" w:afterAutospacing="0"/>
        <w:ind w:left="360"/>
        <w:rPr>
          <w:rFonts w:ascii="Arial" w:hAnsi="Arial" w:cs="Arial"/>
          <w:color w:val="000000"/>
          <w:sz w:val="28"/>
          <w:szCs w:val="28"/>
        </w:rPr>
      </w:pPr>
      <w:r w:rsidRPr="00E969C4">
        <w:rPr>
          <w:rFonts w:ascii="Arial" w:hAnsi="Arial" w:cs="Arial"/>
          <w:color w:val="000000"/>
          <w:sz w:val="20"/>
          <w:szCs w:val="20"/>
        </w:rPr>
        <w:t>[182]</w:t>
      </w:r>
      <w:r w:rsidRPr="00E969C4">
        <w:rPr>
          <w:rFonts w:ascii="Arial" w:hAnsi="Arial" w:cs="Arial"/>
          <w:color w:val="000000"/>
          <w:sz w:val="14"/>
          <w:szCs w:val="14"/>
        </w:rPr>
        <w:t>   </w:t>
      </w:r>
      <w:r w:rsidRPr="00E969C4">
        <w:rPr>
          <w:rFonts w:ascii="Arial" w:hAnsi="Arial" w:cs="Arial"/>
          <w:color w:val="000000"/>
          <w:sz w:val="20"/>
          <w:szCs w:val="20"/>
        </w:rPr>
        <w:t xml:space="preserve"> The Archdiocese operated a parish on site and installed a priest there for which both it and the orphanage shared in its maintenance and benefitted, financially and otherwise.  The </w:t>
      </w:r>
      <w:proofErr w:type="gramStart"/>
      <w:r w:rsidRPr="00E969C4">
        <w:rPr>
          <w:rFonts w:ascii="Arial" w:hAnsi="Arial" w:cs="Arial"/>
          <w:color w:val="000000"/>
          <w:sz w:val="20"/>
          <w:szCs w:val="20"/>
        </w:rPr>
        <w:t>Archdiocese</w:t>
      </w:r>
      <w:proofErr w:type="gramEnd"/>
      <w:r w:rsidRPr="00E969C4">
        <w:rPr>
          <w:rFonts w:ascii="Arial" w:hAnsi="Arial" w:cs="Arial"/>
          <w:color w:val="000000"/>
          <w:sz w:val="20"/>
          <w:szCs w:val="20"/>
        </w:rPr>
        <w:t xml:space="preserve"> spoke for the Brothers at Mount Cashel to government, and presented the orphanage to the wider community as one of its institutions.  It took public credit for the successes of Mount Cashel, and shared in its glories.  As well, the </w:t>
      </w:r>
      <w:proofErr w:type="gramStart"/>
      <w:r w:rsidRPr="00E969C4">
        <w:rPr>
          <w:rFonts w:ascii="Arial" w:hAnsi="Arial" w:cs="Arial"/>
          <w:color w:val="000000"/>
          <w:sz w:val="20"/>
          <w:szCs w:val="20"/>
        </w:rPr>
        <w:t>Brothers</w:t>
      </w:r>
      <w:proofErr w:type="gramEnd"/>
      <w:r w:rsidRPr="00E969C4">
        <w:rPr>
          <w:rFonts w:ascii="Arial" w:hAnsi="Arial" w:cs="Arial"/>
          <w:color w:val="000000"/>
          <w:sz w:val="20"/>
          <w:szCs w:val="20"/>
        </w:rPr>
        <w:t xml:space="preserve"> themselves acknowledged the Archdiocese’s authority over fundraising and extra-curricular programming, and regarded the orphanage as one of the Archbishop’s institutions. </w:t>
      </w:r>
    </w:p>
    <w:p w14:paraId="7C224757" w14:textId="77777777" w:rsidR="00E969C4" w:rsidRPr="00E969C4" w:rsidRDefault="00E969C4" w:rsidP="00E969C4">
      <w:pPr>
        <w:pStyle w:val="level1"/>
        <w:spacing w:before="240" w:beforeAutospacing="0" w:after="240" w:afterAutospacing="0"/>
        <w:ind w:left="360"/>
        <w:rPr>
          <w:rFonts w:ascii="Arial" w:hAnsi="Arial" w:cs="Arial"/>
          <w:color w:val="000000"/>
          <w:sz w:val="28"/>
          <w:szCs w:val="28"/>
        </w:rPr>
      </w:pPr>
      <w:r w:rsidRPr="00E969C4">
        <w:rPr>
          <w:rFonts w:ascii="Arial" w:hAnsi="Arial" w:cs="Arial"/>
          <w:color w:val="000000"/>
          <w:sz w:val="20"/>
          <w:szCs w:val="20"/>
        </w:rPr>
        <w:t>[183]</w:t>
      </w:r>
      <w:r w:rsidRPr="00E969C4">
        <w:rPr>
          <w:rFonts w:ascii="Arial" w:hAnsi="Arial" w:cs="Arial"/>
          <w:color w:val="000000"/>
          <w:sz w:val="14"/>
          <w:szCs w:val="14"/>
        </w:rPr>
        <w:t>   </w:t>
      </w:r>
      <w:r w:rsidRPr="00E969C4">
        <w:rPr>
          <w:rFonts w:ascii="Arial" w:hAnsi="Arial" w:cs="Arial"/>
          <w:color w:val="000000"/>
          <w:sz w:val="20"/>
          <w:szCs w:val="20"/>
        </w:rPr>
        <w:t xml:space="preserve">Something more must be said about the relationship between the Archdiocese and the </w:t>
      </w:r>
      <w:proofErr w:type="gramStart"/>
      <w:r w:rsidRPr="00E969C4">
        <w:rPr>
          <w:rFonts w:ascii="Arial" w:hAnsi="Arial" w:cs="Arial"/>
          <w:color w:val="000000"/>
          <w:sz w:val="20"/>
          <w:szCs w:val="20"/>
        </w:rPr>
        <w:t>Brothers</w:t>
      </w:r>
      <w:proofErr w:type="gramEnd"/>
      <w:r w:rsidRPr="00E969C4">
        <w:rPr>
          <w:rFonts w:ascii="Arial" w:hAnsi="Arial" w:cs="Arial"/>
          <w:color w:val="000000"/>
          <w:sz w:val="20"/>
          <w:szCs w:val="20"/>
        </w:rPr>
        <w:t xml:space="preserve"> at Mount Cashel.  It is not only that the </w:t>
      </w:r>
      <w:proofErr w:type="gramStart"/>
      <w:r w:rsidRPr="00E969C4">
        <w:rPr>
          <w:rFonts w:ascii="Arial" w:hAnsi="Arial" w:cs="Arial"/>
          <w:color w:val="000000"/>
          <w:sz w:val="20"/>
          <w:szCs w:val="20"/>
        </w:rPr>
        <w:t>Archdiocese</w:t>
      </w:r>
      <w:proofErr w:type="gramEnd"/>
      <w:r w:rsidRPr="00E969C4">
        <w:rPr>
          <w:rFonts w:ascii="Arial" w:hAnsi="Arial" w:cs="Arial"/>
          <w:color w:val="000000"/>
          <w:sz w:val="20"/>
          <w:szCs w:val="20"/>
        </w:rPr>
        <w:t xml:space="preserve"> exercised a measure of authority and control over the Brothers, but it had the authority and responsibility to exercise much more oversight over how the Brothers were caring for the appellants.  This point is not a new concept.  It is well made in the jurisprudence, and as already noted, goes directly to the policy of deterrence which underlies the doctrine. </w:t>
      </w:r>
    </w:p>
    <w:p w14:paraId="4A17CE10" w14:textId="77777777" w:rsidR="00E969C4" w:rsidRPr="00E969C4" w:rsidRDefault="00E969C4" w:rsidP="00E969C4">
      <w:pPr>
        <w:pStyle w:val="level1"/>
        <w:spacing w:before="240" w:beforeAutospacing="0" w:after="240" w:afterAutospacing="0"/>
        <w:ind w:left="360"/>
        <w:rPr>
          <w:rFonts w:ascii="Arial" w:hAnsi="Arial" w:cs="Arial"/>
          <w:color w:val="000000"/>
          <w:sz w:val="28"/>
          <w:szCs w:val="28"/>
        </w:rPr>
      </w:pPr>
      <w:r w:rsidRPr="00E969C4">
        <w:rPr>
          <w:rFonts w:ascii="Arial" w:hAnsi="Arial" w:cs="Arial"/>
          <w:color w:val="000000"/>
          <w:sz w:val="20"/>
          <w:szCs w:val="20"/>
        </w:rPr>
        <w:t>[184]</w:t>
      </w:r>
      <w:r w:rsidRPr="00E969C4">
        <w:rPr>
          <w:rFonts w:ascii="Arial" w:hAnsi="Arial" w:cs="Arial"/>
          <w:color w:val="000000"/>
          <w:sz w:val="14"/>
          <w:szCs w:val="14"/>
        </w:rPr>
        <w:t>   </w:t>
      </w:r>
      <w:r w:rsidRPr="00E969C4">
        <w:rPr>
          <w:rFonts w:ascii="Arial" w:hAnsi="Arial" w:cs="Arial"/>
          <w:color w:val="000000"/>
          <w:sz w:val="20"/>
          <w:szCs w:val="20"/>
        </w:rPr>
        <w:t xml:space="preserve">The Archdiocese was in a position to reduce risk to the appellants but did not do so.  It had the ability, through a Diocesan contract or otherwise to set up oversight systems to provide a check on how the </w:t>
      </w:r>
      <w:proofErr w:type="gramStart"/>
      <w:r w:rsidRPr="00E969C4">
        <w:rPr>
          <w:rFonts w:ascii="Arial" w:hAnsi="Arial" w:cs="Arial"/>
          <w:color w:val="000000"/>
          <w:sz w:val="20"/>
          <w:szCs w:val="20"/>
        </w:rPr>
        <w:t>Brothers</w:t>
      </w:r>
      <w:proofErr w:type="gramEnd"/>
      <w:r w:rsidRPr="00E969C4">
        <w:rPr>
          <w:rFonts w:ascii="Arial" w:hAnsi="Arial" w:cs="Arial"/>
          <w:color w:val="000000"/>
          <w:sz w:val="20"/>
          <w:szCs w:val="20"/>
        </w:rPr>
        <w:t xml:space="preserve"> were caring for the appellants.  The Brothers were engaged by the Archdiocese to perform services in an orphanage it established and continued to administer and financially support for the benefit of the Archdiocese’s objectives.  The </w:t>
      </w:r>
      <w:proofErr w:type="gramStart"/>
      <w:r w:rsidRPr="00E969C4">
        <w:rPr>
          <w:rFonts w:ascii="Arial" w:hAnsi="Arial" w:cs="Arial"/>
          <w:color w:val="000000"/>
          <w:sz w:val="20"/>
          <w:szCs w:val="20"/>
        </w:rPr>
        <w:t>Archdiocese</w:t>
      </w:r>
      <w:proofErr w:type="gramEnd"/>
      <w:r w:rsidRPr="00E969C4">
        <w:rPr>
          <w:rFonts w:ascii="Arial" w:hAnsi="Arial" w:cs="Arial"/>
          <w:color w:val="000000"/>
          <w:sz w:val="20"/>
          <w:szCs w:val="20"/>
        </w:rPr>
        <w:t xml:space="preserve"> cannot divest itself of responsibility for the Brothers’ wrongdoing by setting up a situation involving risk, perpetuating that risk, and then saying that Church structure denied them</w:t>
      </w:r>
      <w:r w:rsidRPr="00E969C4">
        <w:rPr>
          <w:rFonts w:ascii="Arial" w:hAnsi="Arial" w:cs="Arial"/>
          <w:b/>
          <w:bCs/>
          <w:color w:val="000000"/>
          <w:sz w:val="20"/>
          <w:szCs w:val="20"/>
        </w:rPr>
        <w:t> </w:t>
      </w:r>
      <w:r w:rsidRPr="00E969C4">
        <w:rPr>
          <w:rFonts w:ascii="Arial" w:hAnsi="Arial" w:cs="Arial"/>
          <w:color w:val="000000"/>
          <w:sz w:val="20"/>
          <w:szCs w:val="20"/>
        </w:rPr>
        <w:t xml:space="preserve">authority over how the Brothers carried out their work at the orphanage.  This is especially so because the internal governance of the </w:t>
      </w:r>
      <w:proofErr w:type="gramStart"/>
      <w:r w:rsidRPr="00E969C4">
        <w:rPr>
          <w:rFonts w:ascii="Arial" w:hAnsi="Arial" w:cs="Arial"/>
          <w:color w:val="000000"/>
          <w:sz w:val="20"/>
          <w:szCs w:val="20"/>
        </w:rPr>
        <w:t>Brothers</w:t>
      </w:r>
      <w:proofErr w:type="gramEnd"/>
      <w:r w:rsidRPr="00E969C4">
        <w:rPr>
          <w:rFonts w:ascii="Arial" w:hAnsi="Arial" w:cs="Arial"/>
          <w:color w:val="000000"/>
          <w:sz w:val="20"/>
          <w:szCs w:val="20"/>
        </w:rPr>
        <w:t xml:space="preserve"> did not determine how the Brothers were to carry out the Archdiocese’s objectives, and also because the Archdiocese continued to exercise much supervision and control over several aspects of running the orphanage and controlling the Brothers.  In this regard, the words of Wilkinson J. in </w:t>
      </w:r>
      <w:r w:rsidRPr="00E969C4">
        <w:rPr>
          <w:rFonts w:ascii="Arial" w:hAnsi="Arial" w:cs="Arial"/>
          <w:i/>
          <w:iCs/>
          <w:color w:val="000000"/>
          <w:sz w:val="20"/>
          <w:szCs w:val="20"/>
        </w:rPr>
        <w:t>Jacobi, </w:t>
      </w:r>
      <w:r w:rsidRPr="00E969C4">
        <w:rPr>
          <w:rFonts w:ascii="Arial" w:hAnsi="Arial" w:cs="Arial"/>
          <w:color w:val="000000"/>
          <w:sz w:val="20"/>
          <w:szCs w:val="20"/>
        </w:rPr>
        <w:t>to the effect that oversight by entities responsible for the institutional care of vulnerable children is required if abuse of these children is ever to be curtailed, are appropriate.</w:t>
      </w:r>
    </w:p>
    <w:p w14:paraId="433CAE85" w14:textId="115BC0F6" w:rsidR="00E969C4" w:rsidRPr="00E969C4" w:rsidRDefault="00E969C4" w:rsidP="00E969C4">
      <w:pPr>
        <w:pStyle w:val="level1"/>
        <w:spacing w:before="240" w:beforeAutospacing="0" w:after="240" w:afterAutospacing="0"/>
        <w:ind w:left="360"/>
        <w:rPr>
          <w:rStyle w:val="Hyperlink"/>
          <w:rFonts w:ascii="Arial" w:hAnsi="Arial" w:cs="Arial"/>
          <w:color w:val="000000"/>
          <w:sz w:val="28"/>
          <w:szCs w:val="28"/>
          <w:u w:val="none"/>
        </w:rPr>
      </w:pPr>
      <w:r w:rsidRPr="00E969C4">
        <w:rPr>
          <w:rFonts w:ascii="Arial" w:hAnsi="Arial" w:cs="Arial"/>
          <w:color w:val="000000"/>
          <w:sz w:val="20"/>
          <w:szCs w:val="20"/>
        </w:rPr>
        <w:t>[185]</w:t>
      </w:r>
      <w:r w:rsidRPr="00E969C4">
        <w:rPr>
          <w:rFonts w:ascii="Arial" w:hAnsi="Arial" w:cs="Arial"/>
          <w:color w:val="000000"/>
          <w:sz w:val="14"/>
          <w:szCs w:val="14"/>
        </w:rPr>
        <w:t>   </w:t>
      </w:r>
      <w:r w:rsidRPr="00E969C4">
        <w:rPr>
          <w:rFonts w:ascii="Arial" w:hAnsi="Arial" w:cs="Arial"/>
          <w:color w:val="000000"/>
          <w:sz w:val="20"/>
          <w:szCs w:val="20"/>
        </w:rPr>
        <w:t xml:space="preserve">In summary, and considering the whole of the evidence, we conclude that the </w:t>
      </w:r>
      <w:proofErr w:type="gramStart"/>
      <w:r w:rsidRPr="00E969C4">
        <w:rPr>
          <w:rFonts w:ascii="Arial" w:hAnsi="Arial" w:cs="Arial"/>
          <w:color w:val="000000"/>
          <w:sz w:val="20"/>
          <w:szCs w:val="20"/>
        </w:rPr>
        <w:t>Brothers</w:t>
      </w:r>
      <w:proofErr w:type="gramEnd"/>
      <w:r w:rsidRPr="00E969C4">
        <w:rPr>
          <w:rFonts w:ascii="Arial" w:hAnsi="Arial" w:cs="Arial"/>
          <w:color w:val="000000"/>
          <w:sz w:val="20"/>
          <w:szCs w:val="20"/>
        </w:rPr>
        <w:t xml:space="preserve"> at Mount Cashel were working on the account of the Archdiocese when they were caring for the appellants, and that the relationship between the Brothers and the Archdiocese was sufficiently close to make the imposition of vicarious liability on the Archdiocese appropriate.</w:t>
      </w:r>
    </w:p>
    <w:p w14:paraId="39CB84E9" w14:textId="77777777" w:rsidR="001A113D" w:rsidRDefault="001A113D" w:rsidP="00E969C4">
      <w:pPr>
        <w:pStyle w:val="Default"/>
        <w:spacing w:after="200"/>
        <w:jc w:val="both"/>
        <w:rPr>
          <w:rStyle w:val="Hyperlink"/>
          <w:rFonts w:ascii="Arial" w:hAnsi="Arial" w:cs="Arial"/>
          <w:b/>
          <w:bCs/>
          <w:i/>
          <w:iCs/>
          <w:color w:val="auto"/>
          <w:u w:val="none"/>
          <w:lang w:val="en-CA"/>
        </w:rPr>
      </w:pPr>
    </w:p>
    <w:p w14:paraId="761FC592" w14:textId="48D525CF" w:rsidR="00BB359D" w:rsidRPr="001A113D" w:rsidRDefault="00BB359D" w:rsidP="00E969C4">
      <w:pPr>
        <w:pStyle w:val="Default"/>
        <w:spacing w:after="200"/>
        <w:jc w:val="both"/>
        <w:rPr>
          <w:rStyle w:val="Hyperlink"/>
          <w:rFonts w:ascii="Arial" w:hAnsi="Arial" w:cs="Arial"/>
          <w:color w:val="auto"/>
          <w:u w:val="none"/>
          <w:lang w:val="en-CA"/>
        </w:rPr>
      </w:pPr>
      <w:r w:rsidRPr="00E969C4">
        <w:rPr>
          <w:rStyle w:val="Hyperlink"/>
          <w:rFonts w:ascii="Arial" w:hAnsi="Arial" w:cs="Arial"/>
          <w:b/>
          <w:bCs/>
          <w:i/>
          <w:iCs/>
          <w:color w:val="auto"/>
          <w:u w:val="none"/>
          <w:lang w:val="en-CA"/>
        </w:rPr>
        <w:t>H.N. v. School District of Victoria</w:t>
      </w:r>
      <w:r>
        <w:rPr>
          <w:rStyle w:val="Hyperlink"/>
          <w:rFonts w:ascii="Arial" w:hAnsi="Arial" w:cs="Arial"/>
          <w:color w:val="auto"/>
          <w:u w:val="none"/>
          <w:lang w:val="en-CA"/>
        </w:rPr>
        <w:t xml:space="preserve"> proceeded to trial before Coval, J. in October, 2023. </w:t>
      </w:r>
      <w:r w:rsidR="001A113D">
        <w:rPr>
          <w:rStyle w:val="Hyperlink"/>
          <w:rFonts w:ascii="Arial" w:hAnsi="Arial" w:cs="Arial"/>
          <w:color w:val="auto"/>
          <w:u w:val="none"/>
          <w:lang w:val="en-CA"/>
        </w:rPr>
        <w:t xml:space="preserve">He rejected the imposition of vicarious liability on the defendant School District in Reasons release January </w:t>
      </w:r>
      <w:r w:rsidR="00BD5EE6">
        <w:rPr>
          <w:rStyle w:val="Hyperlink"/>
          <w:rFonts w:ascii="Arial" w:hAnsi="Arial" w:cs="Arial"/>
          <w:color w:val="auto"/>
          <w:u w:val="none"/>
          <w:lang w:val="en-CA"/>
        </w:rPr>
        <w:t>29</w:t>
      </w:r>
      <w:r w:rsidR="001A113D">
        <w:rPr>
          <w:rStyle w:val="Hyperlink"/>
          <w:rFonts w:ascii="Arial" w:hAnsi="Arial" w:cs="Arial"/>
          <w:color w:val="auto"/>
          <w:u w:val="none"/>
          <w:lang w:val="en-CA"/>
        </w:rPr>
        <w:t xml:space="preserve">, 2024: </w:t>
      </w:r>
      <w:r w:rsidR="001A113D" w:rsidRPr="001A113D">
        <w:rPr>
          <w:rFonts w:ascii="Arial" w:hAnsi="Arial" w:cs="Arial"/>
          <w:color w:val="auto"/>
        </w:rPr>
        <w:t xml:space="preserve">H.N. v School District No. 61 (Greater Victoria),  </w:t>
      </w:r>
      <w:hyperlink r:id="rId75" w:history="1">
        <w:r w:rsidR="001A113D">
          <w:rPr>
            <w:rStyle w:val="Hyperlink"/>
            <w:rFonts w:ascii="Arial" w:hAnsi="Arial" w:cs="Arial"/>
          </w:rPr>
          <w:t>2024 BCSC 128 (</w:t>
        </w:r>
        <w:proofErr w:type="spellStart"/>
        <w:r w:rsidR="001A113D">
          <w:rPr>
            <w:rStyle w:val="Hyperlink"/>
            <w:rFonts w:ascii="Arial" w:hAnsi="Arial" w:cs="Arial"/>
          </w:rPr>
          <w:t>CanLII</w:t>
        </w:r>
        <w:proofErr w:type="spellEnd"/>
        <w:r w:rsidR="001A113D">
          <w:rPr>
            <w:rStyle w:val="Hyperlink"/>
            <w:rFonts w:ascii="Arial" w:hAnsi="Arial" w:cs="Arial"/>
          </w:rPr>
          <w:t>)</w:t>
        </w:r>
      </w:hyperlink>
      <w:r w:rsidR="001A113D">
        <w:rPr>
          <w:rFonts w:ascii="Arial" w:hAnsi="Arial" w:cs="Arial"/>
          <w:color w:val="auto"/>
        </w:rPr>
        <w:t xml:space="preserve">, relying on </w:t>
      </w:r>
      <w:r w:rsidR="001A113D">
        <w:rPr>
          <w:rFonts w:ascii="Arial" w:hAnsi="Arial" w:cs="Arial"/>
          <w:i/>
          <w:iCs/>
          <w:color w:val="auto"/>
        </w:rPr>
        <w:t xml:space="preserve">Jacobi v. Griffiths, </w:t>
      </w:r>
      <w:r w:rsidR="001A113D" w:rsidRPr="001A113D">
        <w:rPr>
          <w:rFonts w:ascii="Arial" w:hAnsi="Arial" w:cs="Arial"/>
          <w:color w:val="auto"/>
        </w:rPr>
        <w:t>[1999] 2 S.C.R. 570</w:t>
      </w:r>
      <w:r w:rsidR="001A113D">
        <w:rPr>
          <w:rFonts w:ascii="Arial" w:hAnsi="Arial" w:cs="Arial"/>
          <w:color w:val="auto"/>
        </w:rPr>
        <w:t>: sufficient closeness, sufficient connection – and the importance of the expert evidence on child sexual grooming.</w:t>
      </w:r>
    </w:p>
    <w:p w14:paraId="736BD057" w14:textId="1752D7BC" w:rsidR="001A113D" w:rsidRPr="00823E50" w:rsidRDefault="001A113D" w:rsidP="00E969C4">
      <w:pPr>
        <w:pStyle w:val="Default"/>
        <w:spacing w:after="200"/>
        <w:jc w:val="both"/>
        <w:rPr>
          <w:rStyle w:val="Hyperlink"/>
          <w:rFonts w:ascii="Arial" w:hAnsi="Arial" w:cs="Arial"/>
          <w:color w:val="auto"/>
          <w:u w:val="none"/>
          <w:lang w:val="en-CA"/>
        </w:rPr>
      </w:pPr>
      <w:r>
        <w:rPr>
          <w:rStyle w:val="Hyperlink"/>
          <w:rFonts w:ascii="Arial" w:hAnsi="Arial" w:cs="Arial"/>
          <w:color w:val="auto"/>
          <w:u w:val="none"/>
          <w:lang w:val="en-CA"/>
        </w:rPr>
        <w:t xml:space="preserve">An appeal of </w:t>
      </w:r>
      <w:r w:rsidR="00BD5EE6">
        <w:rPr>
          <w:rStyle w:val="Hyperlink"/>
          <w:rFonts w:ascii="Arial" w:hAnsi="Arial" w:cs="Arial"/>
          <w:color w:val="auto"/>
          <w:u w:val="none"/>
          <w:lang w:val="en-CA"/>
        </w:rPr>
        <w:t>Coval, J.’s</w:t>
      </w:r>
      <w:r>
        <w:rPr>
          <w:rStyle w:val="Hyperlink"/>
          <w:rFonts w:ascii="Arial" w:hAnsi="Arial" w:cs="Arial"/>
          <w:color w:val="auto"/>
          <w:u w:val="none"/>
          <w:lang w:val="en-CA"/>
        </w:rPr>
        <w:t xml:space="preserve"> trial decision was heard December 9, 2024</w:t>
      </w:r>
      <w:r w:rsidR="00F25FB3">
        <w:rPr>
          <w:rStyle w:val="Hyperlink"/>
          <w:rFonts w:ascii="Arial" w:hAnsi="Arial" w:cs="Arial"/>
          <w:color w:val="auto"/>
          <w:u w:val="none"/>
          <w:lang w:val="en-CA"/>
        </w:rPr>
        <w:t>; reasons pending.</w:t>
      </w:r>
    </w:p>
    <w:p w14:paraId="2DC02099" w14:textId="77777777" w:rsidR="00554AE5" w:rsidRDefault="00554AE5" w:rsidP="00EC55D0">
      <w:pPr>
        <w:pStyle w:val="ListParagraph"/>
        <w:spacing w:line="276" w:lineRule="auto"/>
        <w:ind w:left="0"/>
        <w:rPr>
          <w:rFonts w:ascii="Arial" w:hAnsi="Arial" w:cs="Arial"/>
          <w:b/>
          <w:sz w:val="24"/>
          <w:szCs w:val="24"/>
          <w:lang w:val="en-CA"/>
        </w:rPr>
      </w:pPr>
    </w:p>
    <w:p w14:paraId="2A8D665D" w14:textId="5E8E2F79" w:rsidR="00C02EF6" w:rsidRPr="00EC55D0" w:rsidRDefault="00EC55D0" w:rsidP="00EC55D0">
      <w:pPr>
        <w:pStyle w:val="ListParagraph"/>
        <w:spacing w:line="276" w:lineRule="auto"/>
        <w:ind w:left="0"/>
        <w:rPr>
          <w:rFonts w:ascii="Arial" w:hAnsi="Arial" w:cs="Arial"/>
          <w:b/>
          <w:sz w:val="24"/>
          <w:szCs w:val="24"/>
          <w:lang w:val="en-CA"/>
        </w:rPr>
      </w:pPr>
      <w:r w:rsidRPr="00EC55D0">
        <w:rPr>
          <w:rFonts w:ascii="Arial" w:hAnsi="Arial" w:cs="Arial"/>
          <w:b/>
          <w:sz w:val="24"/>
          <w:szCs w:val="24"/>
          <w:lang w:val="en-CA"/>
        </w:rPr>
        <w:t>1.</w:t>
      </w:r>
      <w:r w:rsidR="005D227F">
        <w:rPr>
          <w:rFonts w:ascii="Arial" w:hAnsi="Arial" w:cs="Arial"/>
          <w:b/>
          <w:sz w:val="24"/>
          <w:szCs w:val="24"/>
          <w:lang w:val="en-CA"/>
        </w:rPr>
        <w:t>10</w:t>
      </w:r>
      <w:r>
        <w:rPr>
          <w:rFonts w:ascii="Arial" w:hAnsi="Arial" w:cs="Arial"/>
          <w:b/>
          <w:sz w:val="24"/>
          <w:szCs w:val="24"/>
          <w:lang w:val="en-CA"/>
        </w:rPr>
        <w:t xml:space="preserve">   </w:t>
      </w:r>
      <w:r w:rsidRPr="00EC55D0">
        <w:rPr>
          <w:rFonts w:ascii="Arial" w:hAnsi="Arial" w:cs="Arial"/>
          <w:b/>
          <w:sz w:val="24"/>
          <w:szCs w:val="24"/>
        </w:rPr>
        <w:t>Applying the theory of proving liability in motor vehicle collisions</w:t>
      </w:r>
    </w:p>
    <w:p w14:paraId="55592729" w14:textId="77777777" w:rsidR="00EC55D0" w:rsidRDefault="00EC55D0" w:rsidP="00943477">
      <w:pPr>
        <w:pStyle w:val="ListParagraph"/>
        <w:spacing w:line="276" w:lineRule="auto"/>
        <w:ind w:left="0"/>
        <w:jc w:val="center"/>
        <w:rPr>
          <w:rFonts w:ascii="Arial" w:hAnsi="Arial" w:cs="Arial"/>
          <w:b/>
          <w:sz w:val="24"/>
          <w:szCs w:val="24"/>
          <w:u w:val="single"/>
          <w:lang w:val="en-CA"/>
        </w:rPr>
      </w:pPr>
    </w:p>
    <w:p w14:paraId="44796AC3" w14:textId="77777777" w:rsidR="00DF7FB2" w:rsidRDefault="00DF7FB2" w:rsidP="00EC55D0">
      <w:pPr>
        <w:pStyle w:val="ListParagraph"/>
        <w:spacing w:line="276" w:lineRule="auto"/>
        <w:ind w:left="0"/>
        <w:rPr>
          <w:rFonts w:ascii="Arial" w:hAnsi="Arial" w:cs="Arial"/>
          <w:b/>
          <w:sz w:val="24"/>
          <w:szCs w:val="24"/>
          <w:u w:val="single"/>
          <w:lang w:val="en-CA"/>
        </w:rPr>
      </w:pPr>
    </w:p>
    <w:p w14:paraId="577E9823" w14:textId="18926D57" w:rsidR="00EC55D0" w:rsidRDefault="00EC55D0" w:rsidP="00EC55D0">
      <w:pPr>
        <w:pStyle w:val="ListParagraph"/>
        <w:spacing w:line="276" w:lineRule="auto"/>
        <w:ind w:left="0"/>
        <w:rPr>
          <w:rFonts w:ascii="Arial" w:hAnsi="Arial" w:cs="Arial"/>
          <w:b/>
          <w:sz w:val="24"/>
          <w:szCs w:val="24"/>
          <w:u w:val="single"/>
          <w:lang w:val="en-CA"/>
        </w:rPr>
      </w:pPr>
      <w:r>
        <w:rPr>
          <w:rFonts w:ascii="Arial" w:hAnsi="Arial" w:cs="Arial"/>
          <w:b/>
          <w:sz w:val="24"/>
          <w:szCs w:val="24"/>
          <w:u w:val="single"/>
          <w:lang w:val="en-CA"/>
        </w:rPr>
        <w:t>Pedestrian collisions</w:t>
      </w:r>
    </w:p>
    <w:p w14:paraId="426E20EB" w14:textId="77777777" w:rsidR="00EC55D0" w:rsidRDefault="00EC55D0" w:rsidP="00EC55D0">
      <w:pPr>
        <w:pStyle w:val="ListParagraph"/>
        <w:spacing w:line="276" w:lineRule="auto"/>
        <w:ind w:left="0"/>
        <w:rPr>
          <w:rFonts w:ascii="Arial" w:hAnsi="Arial" w:cs="Arial"/>
          <w:b/>
          <w:sz w:val="24"/>
          <w:szCs w:val="24"/>
          <w:u w:val="single"/>
          <w:lang w:val="en-CA"/>
        </w:rPr>
      </w:pPr>
    </w:p>
    <w:p w14:paraId="6C864BC7" w14:textId="7986AC3B" w:rsidR="00943477" w:rsidRPr="00943477" w:rsidRDefault="00943477" w:rsidP="00943477">
      <w:pPr>
        <w:pStyle w:val="ListParagraph"/>
        <w:spacing w:line="276" w:lineRule="auto"/>
        <w:ind w:left="0"/>
        <w:jc w:val="both"/>
        <w:rPr>
          <w:rFonts w:ascii="Arial" w:hAnsi="Arial" w:cs="Arial"/>
          <w:b/>
          <w:sz w:val="24"/>
          <w:szCs w:val="24"/>
          <w:lang w:val="en-CA"/>
        </w:rPr>
      </w:pPr>
      <w:r w:rsidRPr="00943477">
        <w:rPr>
          <w:rFonts w:ascii="Arial" w:hAnsi="Arial" w:cs="Arial"/>
          <w:b/>
          <w:i/>
          <w:sz w:val="24"/>
          <w:szCs w:val="24"/>
          <w:lang w:val="en-CA"/>
        </w:rPr>
        <w:t>Dewar v. Finnigan</w:t>
      </w:r>
      <w:r w:rsidRPr="00943477">
        <w:rPr>
          <w:rFonts w:ascii="Arial" w:hAnsi="Arial" w:cs="Arial"/>
          <w:b/>
          <w:sz w:val="24"/>
          <w:szCs w:val="24"/>
          <w:lang w:val="en-CA"/>
        </w:rPr>
        <w:t xml:space="preserve">, </w:t>
      </w:r>
      <w:hyperlink r:id="rId76" w:history="1">
        <w:r w:rsidRPr="00943477">
          <w:rPr>
            <w:rStyle w:val="Hyperlink"/>
            <w:rFonts w:ascii="Arial" w:hAnsi="Arial" w:cs="Arial"/>
            <w:b/>
            <w:sz w:val="24"/>
            <w:szCs w:val="24"/>
            <w:u w:val="none"/>
            <w:lang w:val="en-CA"/>
          </w:rPr>
          <w:t>2020 BCSC 1721</w:t>
        </w:r>
      </w:hyperlink>
    </w:p>
    <w:p w14:paraId="3412B116" w14:textId="77777777" w:rsidR="00B64867" w:rsidRPr="0019776A" w:rsidRDefault="00B64867" w:rsidP="00B64867">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This case involved a pedestrian crossing a residential </w:t>
      </w:r>
      <w:r w:rsidR="00067299" w:rsidRPr="0019776A">
        <w:rPr>
          <w:rFonts w:ascii="Arial" w:hAnsi="Arial" w:cs="Arial"/>
          <w:sz w:val="24"/>
          <w:szCs w:val="24"/>
          <w:lang w:val="en-CA"/>
        </w:rPr>
        <w:t>road</w:t>
      </w:r>
      <w:r w:rsidRPr="0019776A">
        <w:rPr>
          <w:rFonts w:ascii="Arial" w:hAnsi="Arial" w:cs="Arial"/>
          <w:sz w:val="24"/>
          <w:szCs w:val="24"/>
          <w:lang w:val="en-CA"/>
        </w:rPr>
        <w:t xml:space="preserve"> mid-block at night </w:t>
      </w:r>
      <w:r w:rsidR="00CC0A87" w:rsidRPr="0019776A">
        <w:rPr>
          <w:rFonts w:ascii="Arial" w:hAnsi="Arial" w:cs="Arial"/>
          <w:sz w:val="24"/>
          <w:szCs w:val="24"/>
          <w:lang w:val="en-CA"/>
        </w:rPr>
        <w:t>who was struck by a vehicle</w:t>
      </w:r>
      <w:r w:rsidR="000F596F" w:rsidRPr="0019776A">
        <w:rPr>
          <w:rFonts w:ascii="Arial" w:hAnsi="Arial" w:cs="Arial"/>
          <w:sz w:val="24"/>
          <w:szCs w:val="24"/>
          <w:lang w:val="en-CA"/>
        </w:rPr>
        <w:t xml:space="preserve"> and grievously injured</w:t>
      </w:r>
      <w:r w:rsidR="00CC0A87" w:rsidRPr="0019776A">
        <w:rPr>
          <w:rFonts w:ascii="Arial" w:hAnsi="Arial" w:cs="Arial"/>
          <w:sz w:val="24"/>
          <w:szCs w:val="24"/>
          <w:lang w:val="en-CA"/>
        </w:rPr>
        <w:t>.</w:t>
      </w:r>
    </w:p>
    <w:p w14:paraId="4C20747B" w14:textId="77777777" w:rsidR="008C5714" w:rsidRPr="0019776A" w:rsidRDefault="008C5714" w:rsidP="008C5714">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The</w:t>
      </w:r>
      <w:r w:rsidR="00B36071" w:rsidRPr="0019776A">
        <w:rPr>
          <w:rFonts w:ascii="Arial" w:hAnsi="Arial" w:cs="Arial"/>
          <w:sz w:val="24"/>
          <w:szCs w:val="24"/>
          <w:lang w:val="en-CA"/>
        </w:rPr>
        <w:t xml:space="preserve"> </w:t>
      </w:r>
      <w:r w:rsidRPr="0019776A">
        <w:rPr>
          <w:rFonts w:ascii="Arial" w:hAnsi="Arial" w:cs="Arial"/>
          <w:sz w:val="24"/>
          <w:szCs w:val="24"/>
          <w:lang w:val="en-CA"/>
        </w:rPr>
        <w:t xml:space="preserve">plaintiff argued that he had crossed more than half of the roadway by the time the </w:t>
      </w:r>
      <w:r w:rsidR="00FA5C88" w:rsidRPr="0019776A">
        <w:rPr>
          <w:rFonts w:ascii="Arial" w:hAnsi="Arial" w:cs="Arial"/>
          <w:sz w:val="24"/>
          <w:szCs w:val="24"/>
          <w:lang w:val="en-CA"/>
        </w:rPr>
        <w:t xml:space="preserve">defendant’s </w:t>
      </w:r>
      <w:r w:rsidRPr="0019776A">
        <w:rPr>
          <w:rFonts w:ascii="Arial" w:hAnsi="Arial" w:cs="Arial"/>
          <w:sz w:val="24"/>
          <w:szCs w:val="24"/>
          <w:lang w:val="en-CA"/>
        </w:rPr>
        <w:t xml:space="preserve">vehicle struck him, and that the </w:t>
      </w:r>
      <w:r w:rsidR="00A7171F" w:rsidRPr="0019776A">
        <w:rPr>
          <w:rFonts w:ascii="Arial" w:hAnsi="Arial" w:cs="Arial"/>
          <w:sz w:val="24"/>
          <w:szCs w:val="24"/>
          <w:lang w:val="en-CA"/>
        </w:rPr>
        <w:t>defendant</w:t>
      </w:r>
      <w:r w:rsidRPr="0019776A">
        <w:rPr>
          <w:rFonts w:ascii="Arial" w:hAnsi="Arial" w:cs="Arial"/>
          <w:sz w:val="24"/>
          <w:szCs w:val="24"/>
          <w:lang w:val="en-CA"/>
        </w:rPr>
        <w:t xml:space="preserve"> was speeding </w:t>
      </w:r>
      <w:r w:rsidR="00CC0A87" w:rsidRPr="0019776A">
        <w:rPr>
          <w:rFonts w:ascii="Arial" w:hAnsi="Arial" w:cs="Arial"/>
          <w:sz w:val="24"/>
          <w:szCs w:val="24"/>
          <w:lang w:val="en-CA"/>
        </w:rPr>
        <w:t xml:space="preserve">above the 30 km/h limit </w:t>
      </w:r>
      <w:r w:rsidRPr="0019776A">
        <w:rPr>
          <w:rFonts w:ascii="Arial" w:hAnsi="Arial" w:cs="Arial"/>
          <w:sz w:val="24"/>
          <w:szCs w:val="24"/>
          <w:lang w:val="en-CA"/>
        </w:rPr>
        <w:t>and drivin</w:t>
      </w:r>
      <w:r w:rsidR="001345B0" w:rsidRPr="0019776A">
        <w:rPr>
          <w:rFonts w:ascii="Arial" w:hAnsi="Arial" w:cs="Arial"/>
          <w:sz w:val="24"/>
          <w:szCs w:val="24"/>
          <w:lang w:val="en-CA"/>
        </w:rPr>
        <w:t>g on the wrong side of the road. The plaintiff further argued that the defendant was not exercising due care and attention to see and avoi</w:t>
      </w:r>
      <w:r w:rsidR="00811BC1" w:rsidRPr="0019776A">
        <w:rPr>
          <w:rFonts w:ascii="Arial" w:hAnsi="Arial" w:cs="Arial"/>
          <w:sz w:val="24"/>
          <w:szCs w:val="24"/>
          <w:lang w:val="en-CA"/>
        </w:rPr>
        <w:t>d pedestrians crossing the road, and that the collision could reasonably have been avoided</w:t>
      </w:r>
      <w:r w:rsidR="00C12246" w:rsidRPr="0019776A">
        <w:rPr>
          <w:rFonts w:ascii="Arial" w:hAnsi="Arial" w:cs="Arial"/>
          <w:sz w:val="24"/>
          <w:szCs w:val="24"/>
          <w:lang w:val="en-CA"/>
        </w:rPr>
        <w:t xml:space="preserve"> if she had done so.</w:t>
      </w:r>
    </w:p>
    <w:p w14:paraId="14216435" w14:textId="77777777" w:rsidR="00B64867" w:rsidRPr="0019776A" w:rsidRDefault="00B64867" w:rsidP="00B64867">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ICBC argued</w:t>
      </w:r>
      <w:r w:rsidR="005273C6" w:rsidRPr="0019776A">
        <w:rPr>
          <w:rFonts w:ascii="Arial" w:hAnsi="Arial" w:cs="Arial"/>
          <w:sz w:val="24"/>
          <w:szCs w:val="24"/>
          <w:lang w:val="en-CA"/>
        </w:rPr>
        <w:t xml:space="preserve"> </w:t>
      </w:r>
      <w:r w:rsidRPr="0019776A">
        <w:rPr>
          <w:rFonts w:ascii="Arial" w:hAnsi="Arial" w:cs="Arial"/>
          <w:sz w:val="24"/>
          <w:szCs w:val="24"/>
          <w:lang w:val="en-CA"/>
        </w:rPr>
        <w:t xml:space="preserve">that </w:t>
      </w:r>
      <w:r w:rsidR="00B36071" w:rsidRPr="0019776A">
        <w:rPr>
          <w:rFonts w:ascii="Arial" w:hAnsi="Arial" w:cs="Arial"/>
          <w:sz w:val="24"/>
          <w:szCs w:val="24"/>
          <w:lang w:val="en-CA"/>
        </w:rPr>
        <w:t>the plaintiff</w:t>
      </w:r>
      <w:r w:rsidRPr="0019776A">
        <w:rPr>
          <w:rFonts w:ascii="Arial" w:hAnsi="Arial" w:cs="Arial"/>
          <w:sz w:val="24"/>
          <w:szCs w:val="24"/>
          <w:lang w:val="en-CA"/>
        </w:rPr>
        <w:t xml:space="preserve"> was jaywalking and/or that </w:t>
      </w:r>
      <w:r w:rsidR="0023020A" w:rsidRPr="0019776A">
        <w:rPr>
          <w:rFonts w:ascii="Arial" w:hAnsi="Arial" w:cs="Arial"/>
          <w:sz w:val="24"/>
          <w:szCs w:val="24"/>
          <w:lang w:val="en-CA"/>
        </w:rPr>
        <w:t xml:space="preserve">the vehicle was so close to him </w:t>
      </w:r>
      <w:r w:rsidRPr="0019776A">
        <w:rPr>
          <w:rFonts w:ascii="Arial" w:hAnsi="Arial" w:cs="Arial"/>
          <w:sz w:val="24"/>
          <w:szCs w:val="24"/>
          <w:lang w:val="en-CA"/>
        </w:rPr>
        <w:t xml:space="preserve">at the time he began crossing, </w:t>
      </w:r>
      <w:r w:rsidR="00953620" w:rsidRPr="0019776A">
        <w:rPr>
          <w:rFonts w:ascii="Arial" w:hAnsi="Arial" w:cs="Arial"/>
          <w:sz w:val="24"/>
          <w:szCs w:val="24"/>
          <w:lang w:val="en-CA"/>
        </w:rPr>
        <w:t xml:space="preserve">that </w:t>
      </w:r>
      <w:r w:rsidRPr="0019776A">
        <w:rPr>
          <w:rFonts w:ascii="Arial" w:hAnsi="Arial" w:cs="Arial"/>
          <w:sz w:val="24"/>
          <w:szCs w:val="24"/>
          <w:lang w:val="en-CA"/>
        </w:rPr>
        <w:t xml:space="preserve">it constituted an immediate hazard </w:t>
      </w:r>
      <w:r w:rsidR="00953620" w:rsidRPr="0019776A">
        <w:rPr>
          <w:rFonts w:ascii="Arial" w:hAnsi="Arial" w:cs="Arial"/>
          <w:sz w:val="24"/>
          <w:szCs w:val="24"/>
          <w:lang w:val="en-CA"/>
        </w:rPr>
        <w:t xml:space="preserve">to which the plaintiff </w:t>
      </w:r>
      <w:r w:rsidRPr="0019776A">
        <w:rPr>
          <w:rFonts w:ascii="Arial" w:hAnsi="Arial" w:cs="Arial"/>
          <w:sz w:val="24"/>
          <w:szCs w:val="24"/>
          <w:lang w:val="en-CA"/>
        </w:rPr>
        <w:t>should have yielded the right of way.</w:t>
      </w:r>
      <w:r w:rsidR="005273C6" w:rsidRPr="0019776A">
        <w:rPr>
          <w:rFonts w:ascii="Arial" w:hAnsi="Arial" w:cs="Arial"/>
          <w:sz w:val="24"/>
          <w:szCs w:val="24"/>
          <w:lang w:val="en-CA"/>
        </w:rPr>
        <w:t xml:space="preserve"> ICBC submitted that the plaintiff was wholly liable for not taking care of his own safety, and that the defendant was largely not liable or wholly not liable for the collision.</w:t>
      </w:r>
    </w:p>
    <w:p w14:paraId="600E10B4" w14:textId="77777777" w:rsidR="00B64867" w:rsidRPr="0019776A" w:rsidRDefault="00B64867" w:rsidP="00B64867">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The liability trial was five days and the court ultimately concluded that the driver was 65% at fault for the collision.</w:t>
      </w:r>
    </w:p>
    <w:p w14:paraId="16A3C639" w14:textId="77777777" w:rsidR="00DB317D" w:rsidRPr="0019776A" w:rsidRDefault="00DB317D" w:rsidP="00DB317D">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While several witnesses and police officers attended the scene of the collision immediately after it occurred, only the plaintiff and the defendant witnessed the collision itself. Although the police took photographs of the scene, they did not take</w:t>
      </w:r>
      <w:r w:rsidR="00215822" w:rsidRPr="0019776A">
        <w:rPr>
          <w:rFonts w:ascii="Arial" w:hAnsi="Arial" w:cs="Arial"/>
          <w:sz w:val="24"/>
          <w:szCs w:val="24"/>
          <w:lang w:val="en-CA"/>
        </w:rPr>
        <w:t xml:space="preserve"> any</w:t>
      </w:r>
      <w:r w:rsidRPr="0019776A">
        <w:rPr>
          <w:rFonts w:ascii="Arial" w:hAnsi="Arial" w:cs="Arial"/>
          <w:sz w:val="24"/>
          <w:szCs w:val="24"/>
          <w:lang w:val="en-CA"/>
        </w:rPr>
        <w:t xml:space="preserve"> measurements. As a result, the critical evidence was the expert engineering evidence, that of Dr. Amrit Toor, P. Eng, for the plaintiff, and Mr. Kurt Ising</w:t>
      </w:r>
      <w:r w:rsidR="000934E8" w:rsidRPr="0019776A">
        <w:rPr>
          <w:rFonts w:ascii="Arial" w:hAnsi="Arial" w:cs="Arial"/>
          <w:sz w:val="24"/>
          <w:szCs w:val="24"/>
          <w:lang w:val="en-CA"/>
        </w:rPr>
        <w:t>, P. Eng,</w:t>
      </w:r>
      <w:r w:rsidRPr="0019776A">
        <w:rPr>
          <w:rFonts w:ascii="Arial" w:hAnsi="Arial" w:cs="Arial"/>
          <w:sz w:val="24"/>
          <w:szCs w:val="24"/>
          <w:lang w:val="en-CA"/>
        </w:rPr>
        <w:t xml:space="preserve"> for the defendant. </w:t>
      </w:r>
    </w:p>
    <w:p w14:paraId="23F843B6" w14:textId="77777777" w:rsidR="00DB317D" w:rsidRPr="0019776A" w:rsidRDefault="00DB317D" w:rsidP="00DB317D">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Dr. Toor provided a primary engineer report which estimated that the defendant’s speed was likely between 40-48 km/h at the point of impact, and concluded that the defendant’s vehicle was wholly situated in the northbound section of the road prior to and at the point of impact. Dr. Toor’s report further concluded that the defendant could have avoided the collision if she had applied her brakes before the point of impact. </w:t>
      </w:r>
    </w:p>
    <w:p w14:paraId="064A7024" w14:textId="4CC52ACB" w:rsidR="00F32A94" w:rsidRPr="0019776A" w:rsidRDefault="00DB317D" w:rsidP="00F32A94">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Mr. Ising provided a responsive expert report which estimated that the defendant’s speed was likely as low as 35 km/h at the point of impact. Using assumptions Mr. Ising made about the ambient lighting at the collision scene including halogen headlamps for the defendant vehicle, Mr. Ising calculated that the defendant could have only seen a darkly-clad pedestrian from 25 metres away. Mr. Ising concluded that the defendant, at 36-38 m away from the plaintiff at the time when he </w:t>
      </w:r>
      <w:r w:rsidR="001049FB" w:rsidRPr="0019776A">
        <w:rPr>
          <w:rFonts w:ascii="Arial" w:hAnsi="Arial" w:cs="Arial"/>
          <w:sz w:val="24"/>
          <w:szCs w:val="24"/>
          <w:lang w:val="en-CA"/>
        </w:rPr>
        <w:t>first emerged between parked cars immediately after stepping</w:t>
      </w:r>
      <w:r w:rsidRPr="0019776A">
        <w:rPr>
          <w:rFonts w:ascii="Arial" w:hAnsi="Arial" w:cs="Arial"/>
          <w:sz w:val="24"/>
          <w:szCs w:val="24"/>
          <w:lang w:val="en-CA"/>
        </w:rPr>
        <w:t xml:space="preserve"> out onto the road, could not have seen the plaintiff and avoided the collision.</w:t>
      </w:r>
    </w:p>
    <w:p w14:paraId="70BCD271" w14:textId="1DC2A099" w:rsidR="00F32A94" w:rsidRPr="0019776A" w:rsidRDefault="00F32A94" w:rsidP="00F32A94">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At trial, Mr. Ising conceded that </w:t>
      </w:r>
      <w:r w:rsidR="007F10E8">
        <w:rPr>
          <w:rFonts w:ascii="Arial" w:hAnsi="Arial" w:cs="Arial"/>
          <w:sz w:val="24"/>
          <w:szCs w:val="24"/>
          <w:lang w:val="en-CA"/>
        </w:rPr>
        <w:t xml:space="preserve">the </w:t>
      </w:r>
      <w:r w:rsidRPr="0019776A">
        <w:rPr>
          <w:rFonts w:ascii="Arial" w:hAnsi="Arial" w:cs="Arial"/>
          <w:sz w:val="24"/>
          <w:szCs w:val="24"/>
          <w:lang w:val="en-CA"/>
        </w:rPr>
        <w:t xml:space="preserve">Olsen study he used to calculate a 25 m detection hazard range was done on a dark rural road with no </w:t>
      </w:r>
      <w:proofErr w:type="gramStart"/>
      <w:r w:rsidRPr="0019776A">
        <w:rPr>
          <w:rFonts w:ascii="Arial" w:hAnsi="Arial" w:cs="Arial"/>
          <w:sz w:val="24"/>
          <w:szCs w:val="24"/>
          <w:lang w:val="en-CA"/>
        </w:rPr>
        <w:t>street lights</w:t>
      </w:r>
      <w:proofErr w:type="gramEnd"/>
      <w:r w:rsidRPr="0019776A">
        <w:rPr>
          <w:rFonts w:ascii="Arial" w:hAnsi="Arial" w:cs="Arial"/>
          <w:sz w:val="24"/>
          <w:szCs w:val="24"/>
          <w:lang w:val="en-CA"/>
        </w:rPr>
        <w:t xml:space="preserve"> or ambient lights. It was further revealed that the defendant vehicle was equipped with high-intensity headlamps and not halogen headlamps as assumed by Mr. Ising in his report. Mr. Ising also disclosed that his speed analysis determined a likely speed of 41 km/h and a likely range of up to 44 km/h. Ultimately, Mr. Ising agreed that the collision would not have occurred if the defendant had been driving the speed limit, or had been driving in correct (southbound) portion of the roadway, or had seen the plaintiff and steered or applied the brakes prior to impact.</w:t>
      </w:r>
    </w:p>
    <w:p w14:paraId="16E23031" w14:textId="77777777" w:rsidR="000C077E" w:rsidRPr="0019776A" w:rsidRDefault="000C077E" w:rsidP="000C077E">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What happened in the moments before the defendant vehicle struck the plaintiff was crucial to determining liability. Was the defendant paying due care and attention? Was the defendant driving just above the speed limit at 35 km/h, or was she driving at an excessive speed between 40-48 km</w:t>
      </w:r>
      <w:r w:rsidR="004653AC" w:rsidRPr="0019776A">
        <w:rPr>
          <w:rFonts w:ascii="Arial" w:hAnsi="Arial" w:cs="Arial"/>
          <w:sz w:val="24"/>
          <w:szCs w:val="24"/>
          <w:lang w:val="en-CA"/>
        </w:rPr>
        <w:t>/</w:t>
      </w:r>
      <w:r w:rsidRPr="0019776A">
        <w:rPr>
          <w:rFonts w:ascii="Arial" w:hAnsi="Arial" w:cs="Arial"/>
          <w:sz w:val="24"/>
          <w:szCs w:val="24"/>
          <w:lang w:val="en-CA"/>
        </w:rPr>
        <w:t>h? Was the defendant driving her vehicle in the centre of the roadway, or had her vehicle crossed the centre-line, travelling southbound in the northbound section of the road?</w:t>
      </w:r>
    </w:p>
    <w:p w14:paraId="7E5F7414" w14:textId="1D965331" w:rsidR="00E745D9" w:rsidRPr="0019776A" w:rsidRDefault="001049FB" w:rsidP="00E745D9">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With the expert engineering evidence being critical to the determination of liability, the competing evidence of Dr. Toor and Mr. Ising was very much in issue. Gomery </w:t>
      </w:r>
      <w:r w:rsidR="00554AE5">
        <w:rPr>
          <w:rFonts w:ascii="Arial" w:hAnsi="Arial" w:cs="Arial"/>
          <w:sz w:val="24"/>
          <w:szCs w:val="24"/>
          <w:lang w:val="en-CA"/>
        </w:rPr>
        <w:t xml:space="preserve">J. </w:t>
      </w:r>
      <w:r w:rsidRPr="0019776A">
        <w:rPr>
          <w:rFonts w:ascii="Arial" w:hAnsi="Arial" w:cs="Arial"/>
          <w:sz w:val="24"/>
          <w:szCs w:val="24"/>
          <w:lang w:val="en-CA"/>
        </w:rPr>
        <w:t xml:space="preserve">reconciled that evidence in his reasons, and concluded that the defendant was in a position, at 35-40 </w:t>
      </w:r>
      <w:r w:rsidR="00E745D9" w:rsidRPr="0019776A">
        <w:rPr>
          <w:rFonts w:ascii="Arial" w:hAnsi="Arial" w:cs="Arial"/>
          <w:sz w:val="24"/>
          <w:szCs w:val="24"/>
          <w:lang w:val="en-CA"/>
        </w:rPr>
        <w:t>m away, to see the plaintiff fr</w:t>
      </w:r>
      <w:r w:rsidR="00D43D52" w:rsidRPr="0019776A">
        <w:rPr>
          <w:rFonts w:ascii="Arial" w:hAnsi="Arial" w:cs="Arial"/>
          <w:sz w:val="24"/>
          <w:szCs w:val="24"/>
          <w:lang w:val="en-CA"/>
        </w:rPr>
        <w:t>o</w:t>
      </w:r>
      <w:r w:rsidRPr="0019776A">
        <w:rPr>
          <w:rFonts w:ascii="Arial" w:hAnsi="Arial" w:cs="Arial"/>
          <w:sz w:val="24"/>
          <w:szCs w:val="24"/>
          <w:lang w:val="en-CA"/>
        </w:rPr>
        <w:t>m the moment he emerged from between the parked cars. He further concluded that the defendant vehicle was likely travelling at 40-44 km/h at the point of impact, and that the defendant was travelling south in the northbound lane when she struck the plaintiff.</w:t>
      </w:r>
    </w:p>
    <w:p w14:paraId="2EF530E2" w14:textId="13D91126" w:rsidR="00E745D9" w:rsidRPr="0019776A" w:rsidRDefault="00E745D9" w:rsidP="00E745D9">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In his analysis, Gomery </w:t>
      </w:r>
      <w:r w:rsidR="007F10E8">
        <w:rPr>
          <w:rFonts w:ascii="Arial" w:hAnsi="Arial" w:cs="Arial"/>
          <w:sz w:val="24"/>
          <w:szCs w:val="24"/>
          <w:lang w:val="en-CA"/>
        </w:rPr>
        <w:t xml:space="preserve">J. </w:t>
      </w:r>
      <w:r w:rsidRPr="0019776A">
        <w:rPr>
          <w:rFonts w:ascii="Arial" w:hAnsi="Arial" w:cs="Arial"/>
          <w:sz w:val="24"/>
          <w:szCs w:val="24"/>
          <w:lang w:val="en-CA"/>
        </w:rPr>
        <w:t>first summarized the applicable duty of care owed by the defendant to other users of the roadway, which is derived from the legislated rules of the road and extends to the reasonably foreseeable actions of a pedestrian who may create a hazardous situation or</w:t>
      </w:r>
      <w:r w:rsidR="00236FED">
        <w:rPr>
          <w:rFonts w:ascii="Arial" w:hAnsi="Arial" w:cs="Arial"/>
          <w:sz w:val="24"/>
          <w:szCs w:val="24"/>
          <w:lang w:val="en-CA"/>
        </w:rPr>
        <w:t xml:space="preserve"> disregard the law (at paras. 39-</w:t>
      </w:r>
      <w:r w:rsidRPr="0019776A">
        <w:rPr>
          <w:rFonts w:ascii="Arial" w:hAnsi="Arial" w:cs="Arial"/>
          <w:sz w:val="24"/>
          <w:szCs w:val="24"/>
          <w:lang w:val="en-CA"/>
        </w:rPr>
        <w:t>41):</w:t>
      </w:r>
    </w:p>
    <w:p w14:paraId="0F610D45" w14:textId="334D0F6B" w:rsidR="00E745D9" w:rsidRPr="0019776A" w:rsidRDefault="00E745D9" w:rsidP="00CE0879">
      <w:pPr>
        <w:spacing w:before="240" w:line="276" w:lineRule="auto"/>
        <w:ind w:left="720" w:right="720"/>
        <w:jc w:val="both"/>
        <w:rPr>
          <w:rStyle w:val="fontstyle01"/>
          <w:rFonts w:ascii="Arial" w:hAnsi="Arial" w:cs="Arial"/>
          <w:i/>
          <w:sz w:val="22"/>
          <w:szCs w:val="22"/>
          <w:lang w:val="en-CA"/>
        </w:rPr>
      </w:pPr>
      <w:r w:rsidRPr="0019776A">
        <w:rPr>
          <w:rStyle w:val="fontstyle01"/>
          <w:rFonts w:ascii="Arial" w:hAnsi="Arial" w:cs="Arial"/>
          <w:i/>
          <w:sz w:val="22"/>
          <w:szCs w:val="22"/>
          <w:lang w:val="en-CA"/>
        </w:rPr>
        <w:t>[39] As the driver of a vehicle, Ms. Finnigan owed other users of the roadway a</w:t>
      </w:r>
      <w:r w:rsidRPr="0019776A">
        <w:rPr>
          <w:rFonts w:ascii="Arial" w:hAnsi="Arial" w:cs="Arial"/>
          <w:i/>
          <w:color w:val="000000"/>
          <w:lang w:val="en-CA"/>
        </w:rPr>
        <w:br/>
      </w:r>
      <w:r w:rsidRPr="0019776A">
        <w:rPr>
          <w:rStyle w:val="fontstyle01"/>
          <w:rFonts w:ascii="Arial" w:hAnsi="Arial" w:cs="Arial"/>
          <w:i/>
          <w:sz w:val="22"/>
          <w:szCs w:val="22"/>
          <w:lang w:val="en-CA"/>
        </w:rPr>
        <w:t>duty to take reasonable care for their safety. The driver’s duty of care is informed</w:t>
      </w:r>
      <w:r w:rsidRPr="0019776A">
        <w:rPr>
          <w:rFonts w:ascii="Arial" w:hAnsi="Arial" w:cs="Arial"/>
          <w:i/>
          <w:color w:val="000000"/>
          <w:lang w:val="en-CA"/>
        </w:rPr>
        <w:br/>
      </w:r>
      <w:r w:rsidRPr="0019776A">
        <w:rPr>
          <w:rStyle w:val="fontstyle01"/>
          <w:rFonts w:ascii="Arial" w:hAnsi="Arial" w:cs="Arial"/>
          <w:i/>
          <w:sz w:val="22"/>
          <w:szCs w:val="22"/>
          <w:lang w:val="en-CA"/>
        </w:rPr>
        <w:t xml:space="preserve">but not exhausted by legislated rules of the road; </w:t>
      </w:r>
      <w:r w:rsidRPr="0019776A">
        <w:rPr>
          <w:rStyle w:val="fontstyle21"/>
          <w:rFonts w:ascii="Arial" w:hAnsi="Arial" w:cs="Arial"/>
          <w:i w:val="0"/>
          <w:sz w:val="22"/>
          <w:szCs w:val="22"/>
          <w:lang w:val="en-CA"/>
        </w:rPr>
        <w:t xml:space="preserve">Cook v. </w:t>
      </w:r>
      <w:proofErr w:type="spellStart"/>
      <w:r w:rsidRPr="0019776A">
        <w:rPr>
          <w:rStyle w:val="fontstyle21"/>
          <w:rFonts w:ascii="Arial" w:hAnsi="Arial" w:cs="Arial"/>
          <w:i w:val="0"/>
          <w:sz w:val="22"/>
          <w:szCs w:val="22"/>
          <w:lang w:val="en-CA"/>
        </w:rPr>
        <w:t>Teh</w:t>
      </w:r>
      <w:proofErr w:type="spellEnd"/>
      <w:r w:rsidRPr="0019776A">
        <w:rPr>
          <w:rStyle w:val="fontstyle21"/>
          <w:rFonts w:ascii="Arial" w:hAnsi="Arial" w:cs="Arial"/>
          <w:i w:val="0"/>
          <w:sz w:val="22"/>
          <w:szCs w:val="22"/>
          <w:lang w:val="en-CA"/>
        </w:rPr>
        <w:t xml:space="preserve"> </w:t>
      </w:r>
      <w:r w:rsidRPr="0019776A">
        <w:rPr>
          <w:rStyle w:val="fontstyle01"/>
          <w:rFonts w:ascii="Arial" w:hAnsi="Arial" w:cs="Arial"/>
          <w:i/>
          <w:sz w:val="22"/>
          <w:szCs w:val="22"/>
          <w:lang w:val="en-CA"/>
        </w:rPr>
        <w:t xml:space="preserve">(1990), </w:t>
      </w:r>
      <w:r w:rsidRPr="003B4C60">
        <w:rPr>
          <w:rFonts w:ascii="Arial" w:hAnsi="Arial" w:cs="Arial"/>
          <w:i/>
          <w:lang w:val="en-CA"/>
        </w:rPr>
        <w:t>45 B.C.L.R.</w:t>
      </w:r>
      <w:r w:rsidRPr="003B4C60">
        <w:rPr>
          <w:rFonts w:ascii="Arial" w:hAnsi="Arial" w:cs="Arial"/>
          <w:i/>
          <w:lang w:val="en-CA"/>
        </w:rPr>
        <w:br/>
        <w:t>(2d) 194 (C.A.)</w:t>
      </w:r>
      <w:r w:rsidRPr="0019776A">
        <w:rPr>
          <w:rStyle w:val="fontstyle01"/>
          <w:rFonts w:ascii="Arial" w:hAnsi="Arial" w:cs="Arial"/>
          <w:i/>
          <w:sz w:val="22"/>
          <w:szCs w:val="22"/>
          <w:lang w:val="en-CA"/>
        </w:rPr>
        <w:t xml:space="preserve"> at paras. 17–19; </w:t>
      </w:r>
      <w:r w:rsidRPr="0019776A">
        <w:rPr>
          <w:rStyle w:val="fontstyle21"/>
          <w:rFonts w:ascii="Arial" w:hAnsi="Arial" w:cs="Arial"/>
          <w:i w:val="0"/>
          <w:sz w:val="22"/>
          <w:szCs w:val="22"/>
          <w:lang w:val="en-CA"/>
        </w:rPr>
        <w:t xml:space="preserve">Salaam v. Abramovic, </w:t>
      </w:r>
      <w:r w:rsidRPr="003B4C60">
        <w:rPr>
          <w:rFonts w:ascii="Arial" w:hAnsi="Arial" w:cs="Arial"/>
          <w:i/>
          <w:lang w:val="en-CA"/>
        </w:rPr>
        <w:t>2010 BCCA 212</w:t>
      </w:r>
      <w:r w:rsidRPr="0019776A">
        <w:rPr>
          <w:rStyle w:val="fontstyle01"/>
          <w:rFonts w:ascii="Arial" w:hAnsi="Arial" w:cs="Arial"/>
          <w:i/>
          <w:sz w:val="22"/>
          <w:szCs w:val="22"/>
          <w:lang w:val="en-CA"/>
        </w:rPr>
        <w:t xml:space="preserve"> at paras.</w:t>
      </w:r>
      <w:r w:rsidRPr="0019776A">
        <w:rPr>
          <w:rFonts w:ascii="Arial" w:hAnsi="Arial" w:cs="Arial"/>
          <w:i/>
          <w:color w:val="000000"/>
          <w:lang w:val="en-CA"/>
        </w:rPr>
        <w:br/>
      </w:r>
      <w:r w:rsidRPr="0019776A">
        <w:rPr>
          <w:rStyle w:val="fontstyle01"/>
          <w:rFonts w:ascii="Arial" w:hAnsi="Arial" w:cs="Arial"/>
          <w:i/>
          <w:sz w:val="22"/>
          <w:szCs w:val="22"/>
          <w:lang w:val="en-CA"/>
        </w:rPr>
        <w:t>18–21. The duty extends to anticipating the reasonably foreseeable actions of a</w:t>
      </w:r>
      <w:r w:rsidRPr="0019776A">
        <w:rPr>
          <w:rFonts w:ascii="Arial" w:hAnsi="Arial" w:cs="Arial"/>
          <w:i/>
          <w:color w:val="000000"/>
          <w:lang w:val="en-CA"/>
        </w:rPr>
        <w:br/>
      </w:r>
      <w:r w:rsidRPr="0019776A">
        <w:rPr>
          <w:rStyle w:val="fontstyle01"/>
          <w:rFonts w:ascii="Arial" w:hAnsi="Arial" w:cs="Arial"/>
          <w:i/>
          <w:sz w:val="22"/>
          <w:szCs w:val="22"/>
          <w:lang w:val="en-CA"/>
        </w:rPr>
        <w:t xml:space="preserve">pedestrian who is creating a hazardous situation, even disregarding the law; </w:t>
      </w:r>
      <w:proofErr w:type="spellStart"/>
      <w:r w:rsidRPr="0019776A">
        <w:rPr>
          <w:rStyle w:val="fontstyle21"/>
          <w:rFonts w:ascii="Arial" w:hAnsi="Arial" w:cs="Arial"/>
          <w:i w:val="0"/>
          <w:sz w:val="22"/>
          <w:szCs w:val="22"/>
          <w:lang w:val="en-CA"/>
        </w:rPr>
        <w:t>Hmaied</w:t>
      </w:r>
      <w:proofErr w:type="spellEnd"/>
      <w:r w:rsidRPr="0019776A">
        <w:rPr>
          <w:rFonts w:ascii="Arial" w:hAnsi="Arial" w:cs="Arial"/>
          <w:i/>
          <w:iCs/>
          <w:color w:val="000000"/>
          <w:lang w:val="en-CA"/>
        </w:rPr>
        <w:t xml:space="preserve"> </w:t>
      </w:r>
      <w:r w:rsidRPr="0019776A">
        <w:rPr>
          <w:rStyle w:val="fontstyle21"/>
          <w:rFonts w:ascii="Arial" w:hAnsi="Arial" w:cs="Arial"/>
          <w:i w:val="0"/>
          <w:sz w:val="22"/>
          <w:szCs w:val="22"/>
          <w:lang w:val="en-CA"/>
        </w:rPr>
        <w:t xml:space="preserve">v. Wilkinson, </w:t>
      </w:r>
      <w:r w:rsidRPr="003B4C60">
        <w:rPr>
          <w:rFonts w:ascii="Arial" w:hAnsi="Arial" w:cs="Arial"/>
          <w:i/>
          <w:lang w:val="en-CA"/>
        </w:rPr>
        <w:t>2010 BCSC 1074</w:t>
      </w:r>
      <w:r w:rsidRPr="0019776A">
        <w:rPr>
          <w:rStyle w:val="fontstyle01"/>
          <w:rFonts w:ascii="Arial" w:hAnsi="Arial" w:cs="Arial"/>
          <w:i/>
          <w:sz w:val="22"/>
          <w:szCs w:val="22"/>
          <w:lang w:val="en-CA"/>
        </w:rPr>
        <w:t xml:space="preserve"> at para. 23.</w:t>
      </w:r>
    </w:p>
    <w:p w14:paraId="1946C844" w14:textId="3E343F56" w:rsidR="00950E18" w:rsidRPr="0019776A" w:rsidRDefault="00F63EDD" w:rsidP="00CE0879">
      <w:pPr>
        <w:spacing w:before="120" w:line="276" w:lineRule="auto"/>
        <w:ind w:left="720" w:right="720"/>
        <w:jc w:val="both"/>
        <w:rPr>
          <w:rStyle w:val="fontstyle01"/>
          <w:rFonts w:ascii="Arial" w:hAnsi="Arial" w:cs="Arial"/>
          <w:i/>
          <w:color w:val="auto"/>
          <w:sz w:val="22"/>
          <w:szCs w:val="22"/>
          <w:lang w:val="en-CA"/>
        </w:rPr>
      </w:pPr>
      <w:r w:rsidRPr="0019776A">
        <w:rPr>
          <w:rFonts w:ascii="Arial" w:hAnsi="Arial" w:cs="Arial"/>
          <w:i/>
          <w:color w:val="000000"/>
          <w:shd w:val="clear" w:color="auto" w:fill="FFFFFF"/>
          <w:lang w:val="en-CA"/>
        </w:rPr>
        <w:t>[</w:t>
      </w:r>
      <w:bookmarkStart w:id="12" w:name="par40"/>
      <w:r w:rsidRPr="0019776A">
        <w:rPr>
          <w:rFonts w:ascii="Arial" w:hAnsi="Arial" w:cs="Arial"/>
          <w:i/>
          <w:color w:val="000000"/>
          <w:shd w:val="clear" w:color="auto" w:fill="FFFFFF"/>
          <w:lang w:val="en-CA"/>
        </w:rPr>
        <w:t>40</w:t>
      </w:r>
      <w:bookmarkEnd w:id="12"/>
      <w:r w:rsidRPr="0019776A">
        <w:rPr>
          <w:rFonts w:ascii="Arial" w:hAnsi="Arial" w:cs="Arial"/>
          <w:i/>
          <w:color w:val="000000"/>
          <w:shd w:val="clear" w:color="auto" w:fill="FFFFFF"/>
          <w:lang w:val="en-CA"/>
        </w:rPr>
        <w:t xml:space="preserve">]      While Mr. Dewar was not in a cross-walk, neither was he crossing illegally.  Section 12(2) of </w:t>
      </w:r>
      <w:r w:rsidRPr="003B4C60">
        <w:rPr>
          <w:rFonts w:ascii="Arial" w:hAnsi="Arial" w:cs="Arial"/>
          <w:i/>
          <w:shd w:val="clear" w:color="auto" w:fill="FFFFFF"/>
          <w:lang w:val="en-CA"/>
        </w:rPr>
        <w:t>City of Vancouver Street and Traffic By-Law No. 2849 [By-Law 2849]</w:t>
      </w:r>
      <w:r w:rsidRPr="0019776A">
        <w:rPr>
          <w:rFonts w:ascii="Arial" w:hAnsi="Arial" w:cs="Arial"/>
          <w:i/>
          <w:color w:val="000000"/>
          <w:shd w:val="clear" w:color="auto" w:fill="FFFFFF"/>
          <w:lang w:val="en-CA"/>
        </w:rPr>
        <w:t xml:space="preserve"> prohibits jaywalking, but not where the street in question is a “Minor Street” without lane markings.</w:t>
      </w:r>
    </w:p>
    <w:p w14:paraId="4B7D9505" w14:textId="77777777" w:rsidR="00950E18" w:rsidRPr="0019776A" w:rsidRDefault="00E745D9" w:rsidP="00CE0879">
      <w:pPr>
        <w:spacing w:before="120" w:line="276" w:lineRule="auto"/>
        <w:ind w:left="720" w:right="720"/>
        <w:jc w:val="both"/>
        <w:rPr>
          <w:rStyle w:val="fontstyle01"/>
          <w:rFonts w:ascii="Arial" w:hAnsi="Arial" w:cs="Arial"/>
          <w:i/>
          <w:sz w:val="22"/>
          <w:szCs w:val="22"/>
          <w:lang w:val="en-CA"/>
        </w:rPr>
      </w:pPr>
      <w:r w:rsidRPr="0019776A">
        <w:rPr>
          <w:rStyle w:val="fontstyle01"/>
          <w:rFonts w:ascii="Arial" w:hAnsi="Arial" w:cs="Arial"/>
          <w:i/>
          <w:sz w:val="22"/>
          <w:szCs w:val="22"/>
          <w:lang w:val="en-CA"/>
        </w:rPr>
        <w:t>[41] The following legislated rules bear on an assessment of Ms. Finnigan’s</w:t>
      </w:r>
      <w:r w:rsidRPr="0019776A">
        <w:rPr>
          <w:rFonts w:ascii="Arial" w:hAnsi="Arial" w:cs="Arial"/>
          <w:i/>
          <w:color w:val="000000"/>
          <w:lang w:val="en-CA"/>
        </w:rPr>
        <w:br/>
      </w:r>
      <w:r w:rsidRPr="0019776A">
        <w:rPr>
          <w:rStyle w:val="fontstyle01"/>
          <w:rFonts w:ascii="Arial" w:hAnsi="Arial" w:cs="Arial"/>
          <w:i/>
          <w:sz w:val="22"/>
          <w:szCs w:val="22"/>
          <w:lang w:val="en-CA"/>
        </w:rPr>
        <w:t>conduct:</w:t>
      </w:r>
    </w:p>
    <w:p w14:paraId="2BCAC320" w14:textId="77777777" w:rsidR="00AC7229" w:rsidRPr="0019776A" w:rsidRDefault="00E745D9" w:rsidP="00CE0879">
      <w:pPr>
        <w:spacing w:before="120" w:line="276" w:lineRule="auto"/>
        <w:ind w:left="1440" w:right="720"/>
        <w:rPr>
          <w:rStyle w:val="fontstyle01"/>
          <w:rFonts w:ascii="Arial" w:hAnsi="Arial" w:cs="Arial"/>
          <w:i/>
          <w:sz w:val="22"/>
          <w:szCs w:val="22"/>
          <w:lang w:val="en-CA"/>
        </w:rPr>
      </w:pPr>
      <w:r w:rsidRPr="0019776A">
        <w:rPr>
          <w:rStyle w:val="fontstyle01"/>
          <w:rFonts w:ascii="Arial" w:hAnsi="Arial" w:cs="Arial"/>
          <w:i/>
          <w:sz w:val="22"/>
          <w:szCs w:val="22"/>
          <w:lang w:val="en-CA"/>
        </w:rPr>
        <w:t xml:space="preserve">a) Wall Street is a highway as defined in s. 1 of the </w:t>
      </w:r>
      <w:r w:rsidRPr="0019776A">
        <w:rPr>
          <w:rStyle w:val="fontstyle21"/>
          <w:rFonts w:ascii="Arial" w:hAnsi="Arial" w:cs="Arial"/>
          <w:i w:val="0"/>
          <w:sz w:val="22"/>
          <w:szCs w:val="22"/>
          <w:lang w:val="en-CA"/>
        </w:rPr>
        <w:t>Motor Vehicle Act,</w:t>
      </w:r>
      <w:r w:rsidR="006276C0" w:rsidRPr="0019776A">
        <w:rPr>
          <w:rFonts w:ascii="Arial" w:hAnsi="Arial" w:cs="Arial"/>
          <w:i/>
          <w:iCs/>
          <w:color w:val="000000"/>
          <w:lang w:val="en-CA"/>
        </w:rPr>
        <w:t xml:space="preserve"> </w:t>
      </w:r>
      <w:r w:rsidR="001C3D5C" w:rsidRPr="0019776A">
        <w:rPr>
          <w:rStyle w:val="fontstyle01"/>
          <w:rFonts w:ascii="Arial" w:hAnsi="Arial" w:cs="Arial"/>
          <w:i/>
          <w:sz w:val="22"/>
          <w:szCs w:val="22"/>
          <w:lang w:val="en-CA"/>
        </w:rPr>
        <w:t xml:space="preserve">R.S.B.C. 1996, c. </w:t>
      </w:r>
      <w:r w:rsidRPr="0019776A">
        <w:rPr>
          <w:rStyle w:val="fontstyle01"/>
          <w:rFonts w:ascii="Arial" w:hAnsi="Arial" w:cs="Arial"/>
          <w:i/>
          <w:sz w:val="22"/>
          <w:szCs w:val="22"/>
          <w:lang w:val="en-CA"/>
        </w:rPr>
        <w:t>318 [</w:t>
      </w:r>
      <w:r w:rsidRPr="0019776A">
        <w:rPr>
          <w:rStyle w:val="fontstyle21"/>
          <w:rFonts w:ascii="Arial" w:hAnsi="Arial" w:cs="Arial"/>
          <w:i w:val="0"/>
          <w:sz w:val="22"/>
          <w:szCs w:val="22"/>
          <w:lang w:val="en-CA"/>
        </w:rPr>
        <w:t>MVA</w:t>
      </w:r>
      <w:r w:rsidRPr="0019776A">
        <w:rPr>
          <w:rStyle w:val="fontstyle01"/>
          <w:rFonts w:ascii="Arial" w:hAnsi="Arial" w:cs="Arial"/>
          <w:i/>
          <w:sz w:val="22"/>
          <w:szCs w:val="22"/>
          <w:lang w:val="en-CA"/>
        </w:rPr>
        <w:t>];</w:t>
      </w:r>
    </w:p>
    <w:p w14:paraId="1CAC6217" w14:textId="77777777" w:rsidR="00AC7229" w:rsidRPr="0019776A" w:rsidRDefault="00E745D9" w:rsidP="00CE0879">
      <w:pPr>
        <w:spacing w:before="120" w:line="276" w:lineRule="auto"/>
        <w:ind w:left="1440" w:right="720"/>
        <w:rPr>
          <w:rStyle w:val="fontstyle01"/>
          <w:rFonts w:ascii="Arial" w:hAnsi="Arial" w:cs="Arial"/>
          <w:i/>
          <w:sz w:val="22"/>
          <w:szCs w:val="22"/>
          <w:lang w:val="en-CA"/>
        </w:rPr>
      </w:pPr>
      <w:r w:rsidRPr="0019776A">
        <w:rPr>
          <w:rStyle w:val="fontstyle01"/>
          <w:rFonts w:ascii="Arial" w:hAnsi="Arial" w:cs="Arial"/>
          <w:i/>
          <w:sz w:val="22"/>
          <w:szCs w:val="22"/>
          <w:lang w:val="en-CA"/>
        </w:rPr>
        <w:t>b) A person must not drive a motor vehicle on a highway without due care</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and attention, without reasonable consideration for other persons using</w:t>
      </w:r>
      <w:r w:rsidR="006276C0" w:rsidRPr="0019776A">
        <w:rPr>
          <w:rFonts w:ascii="Arial" w:hAnsi="Arial" w:cs="Arial"/>
          <w:i/>
          <w:color w:val="000000"/>
          <w:lang w:val="en-CA"/>
        </w:rPr>
        <w:t xml:space="preserve"> </w:t>
      </w:r>
      <w:r w:rsidR="006276C0" w:rsidRPr="0019776A">
        <w:rPr>
          <w:rStyle w:val="fontstyle01"/>
          <w:rFonts w:ascii="Arial" w:hAnsi="Arial" w:cs="Arial"/>
          <w:i/>
          <w:sz w:val="22"/>
          <w:szCs w:val="22"/>
          <w:lang w:val="en-CA"/>
        </w:rPr>
        <w:t>the highw</w:t>
      </w:r>
      <w:r w:rsidR="001C3D5C" w:rsidRPr="0019776A">
        <w:rPr>
          <w:rStyle w:val="fontstyle01"/>
          <w:rFonts w:ascii="Arial" w:hAnsi="Arial" w:cs="Arial"/>
          <w:i/>
          <w:sz w:val="22"/>
          <w:szCs w:val="22"/>
          <w:lang w:val="en-CA"/>
        </w:rPr>
        <w:t xml:space="preserve">ay, or at a speed </w:t>
      </w:r>
      <w:r w:rsidRPr="0019776A">
        <w:rPr>
          <w:rStyle w:val="fontstyle01"/>
          <w:rFonts w:ascii="Arial" w:hAnsi="Arial" w:cs="Arial"/>
          <w:i/>
          <w:sz w:val="22"/>
          <w:szCs w:val="22"/>
          <w:lang w:val="en-CA"/>
        </w:rPr>
        <w:t>which is excessive relative to the road, traffic,</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 xml:space="preserve">visibility, or weather conditions; </w:t>
      </w:r>
      <w:r w:rsidRPr="0019776A">
        <w:rPr>
          <w:rStyle w:val="fontstyle21"/>
          <w:rFonts w:ascii="Arial" w:hAnsi="Arial" w:cs="Arial"/>
          <w:i w:val="0"/>
          <w:sz w:val="22"/>
          <w:szCs w:val="22"/>
          <w:lang w:val="en-CA"/>
        </w:rPr>
        <w:t xml:space="preserve">MVA </w:t>
      </w:r>
      <w:r w:rsidRPr="0019776A">
        <w:rPr>
          <w:rStyle w:val="fontstyle01"/>
          <w:rFonts w:ascii="Arial" w:hAnsi="Arial" w:cs="Arial"/>
          <w:i/>
          <w:sz w:val="22"/>
          <w:szCs w:val="22"/>
          <w:lang w:val="en-CA"/>
        </w:rPr>
        <w:t>s. 144(1);</w:t>
      </w:r>
    </w:p>
    <w:p w14:paraId="1C3BE06D" w14:textId="77777777" w:rsidR="00AC7229" w:rsidRPr="0019776A" w:rsidRDefault="00E745D9" w:rsidP="00CE0879">
      <w:pPr>
        <w:spacing w:before="120" w:line="276" w:lineRule="auto"/>
        <w:ind w:left="1440" w:right="720"/>
        <w:rPr>
          <w:rStyle w:val="fontstyle01"/>
          <w:rFonts w:ascii="Arial" w:hAnsi="Arial" w:cs="Arial"/>
          <w:i/>
          <w:sz w:val="22"/>
          <w:szCs w:val="22"/>
          <w:lang w:val="en-CA"/>
        </w:rPr>
      </w:pPr>
      <w:r w:rsidRPr="0019776A">
        <w:rPr>
          <w:rStyle w:val="fontstyle01"/>
          <w:rFonts w:ascii="Arial" w:hAnsi="Arial" w:cs="Arial"/>
          <w:i/>
          <w:sz w:val="22"/>
          <w:szCs w:val="22"/>
          <w:lang w:val="en-CA"/>
        </w:rPr>
        <w:t>c) A person must not drive on a highway at a speed in excess of the posted</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 xml:space="preserve">speed; </w:t>
      </w:r>
      <w:r w:rsidR="001C3D5C" w:rsidRPr="0019776A">
        <w:rPr>
          <w:rStyle w:val="fontstyle21"/>
          <w:rFonts w:ascii="Arial" w:hAnsi="Arial" w:cs="Arial"/>
          <w:i w:val="0"/>
          <w:sz w:val="22"/>
          <w:szCs w:val="22"/>
          <w:lang w:val="en-CA"/>
        </w:rPr>
        <w:t xml:space="preserve">MVA </w:t>
      </w:r>
      <w:r w:rsidRPr="0019776A">
        <w:rPr>
          <w:rStyle w:val="fontstyle01"/>
          <w:rFonts w:ascii="Arial" w:hAnsi="Arial" w:cs="Arial"/>
          <w:i/>
          <w:sz w:val="22"/>
          <w:szCs w:val="22"/>
          <w:lang w:val="en-CA"/>
        </w:rPr>
        <w:t>s. 146(7);</w:t>
      </w:r>
    </w:p>
    <w:p w14:paraId="401D87CB" w14:textId="77777777" w:rsidR="00AC7229" w:rsidRPr="0019776A" w:rsidRDefault="00E745D9" w:rsidP="00CE0879">
      <w:pPr>
        <w:spacing w:before="120" w:line="276" w:lineRule="auto"/>
        <w:ind w:left="1440" w:right="720"/>
        <w:rPr>
          <w:rStyle w:val="fontstyle01"/>
          <w:rFonts w:ascii="Arial" w:hAnsi="Arial" w:cs="Arial"/>
          <w:i/>
          <w:sz w:val="22"/>
          <w:szCs w:val="22"/>
          <w:lang w:val="en-CA"/>
        </w:rPr>
      </w:pPr>
      <w:r w:rsidRPr="0019776A">
        <w:rPr>
          <w:rStyle w:val="fontstyle01"/>
          <w:rFonts w:ascii="Arial" w:hAnsi="Arial" w:cs="Arial"/>
          <w:i/>
          <w:sz w:val="22"/>
          <w:szCs w:val="22"/>
          <w:lang w:val="en-CA"/>
        </w:rPr>
        <w:t>d) A driver on a highway without marked lanes must confine the course of</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the vehicle to the right-hand half of the roadway if the roadway is of</w:t>
      </w:r>
      <w:r w:rsidR="006276C0" w:rsidRPr="0019776A">
        <w:rPr>
          <w:rFonts w:ascii="Arial" w:hAnsi="Arial" w:cs="Arial"/>
          <w:i/>
          <w:color w:val="000000"/>
          <w:lang w:val="en-CA"/>
        </w:rPr>
        <w:t xml:space="preserve"> </w:t>
      </w:r>
      <w:r w:rsidR="001C3D5C" w:rsidRPr="0019776A">
        <w:rPr>
          <w:rStyle w:val="fontstyle01"/>
          <w:rFonts w:ascii="Arial" w:hAnsi="Arial" w:cs="Arial"/>
          <w:i/>
          <w:sz w:val="22"/>
          <w:szCs w:val="22"/>
          <w:lang w:val="en-CA"/>
        </w:rPr>
        <w:t xml:space="preserve">sufficient width and it is </w:t>
      </w:r>
      <w:r w:rsidRPr="0019776A">
        <w:rPr>
          <w:rStyle w:val="fontstyle01"/>
          <w:rFonts w:ascii="Arial" w:hAnsi="Arial" w:cs="Arial"/>
          <w:i/>
          <w:sz w:val="22"/>
          <w:szCs w:val="22"/>
          <w:lang w:val="en-CA"/>
        </w:rPr>
        <w:t>practicable to do so, subject to certain exceptions</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 xml:space="preserve">that do not apply in this case; </w:t>
      </w:r>
      <w:r w:rsidRPr="0019776A">
        <w:rPr>
          <w:rStyle w:val="fontstyle21"/>
          <w:rFonts w:ascii="Arial" w:hAnsi="Arial" w:cs="Arial"/>
          <w:i w:val="0"/>
          <w:sz w:val="22"/>
          <w:szCs w:val="22"/>
          <w:lang w:val="en-CA"/>
        </w:rPr>
        <w:t xml:space="preserve">MVA </w:t>
      </w:r>
      <w:r w:rsidRPr="0019776A">
        <w:rPr>
          <w:rStyle w:val="fontstyle01"/>
          <w:rFonts w:ascii="Arial" w:hAnsi="Arial" w:cs="Arial"/>
          <w:i/>
          <w:sz w:val="22"/>
          <w:szCs w:val="22"/>
          <w:lang w:val="en-CA"/>
        </w:rPr>
        <w:t>ss. 150, 151;</w:t>
      </w:r>
    </w:p>
    <w:p w14:paraId="47EF5A8D" w14:textId="77777777" w:rsidR="00E745D9" w:rsidRPr="0019776A" w:rsidRDefault="00E745D9" w:rsidP="00CE0879">
      <w:pPr>
        <w:spacing w:before="120" w:line="276" w:lineRule="auto"/>
        <w:ind w:left="1440" w:right="720"/>
        <w:rPr>
          <w:rFonts w:ascii="Arial" w:hAnsi="Arial" w:cs="Arial"/>
          <w:i/>
          <w:color w:val="000000"/>
          <w:lang w:val="en-CA"/>
        </w:rPr>
      </w:pPr>
      <w:r w:rsidRPr="0019776A">
        <w:rPr>
          <w:rStyle w:val="fontstyle01"/>
          <w:rFonts w:ascii="Arial" w:hAnsi="Arial" w:cs="Arial"/>
          <w:i/>
          <w:sz w:val="22"/>
          <w:szCs w:val="22"/>
          <w:lang w:val="en-CA"/>
        </w:rPr>
        <w:t xml:space="preserve">e) While there are circumstances set out in ss. 179 and 180 of the </w:t>
      </w:r>
      <w:r w:rsidRPr="0019776A">
        <w:rPr>
          <w:rStyle w:val="fontstyle21"/>
          <w:rFonts w:ascii="Arial" w:hAnsi="Arial" w:cs="Arial"/>
          <w:i w:val="0"/>
          <w:sz w:val="22"/>
          <w:szCs w:val="22"/>
          <w:lang w:val="en-CA"/>
        </w:rPr>
        <w:t xml:space="preserve">MVA </w:t>
      </w:r>
      <w:r w:rsidRPr="0019776A">
        <w:rPr>
          <w:rStyle w:val="fontstyle01"/>
          <w:rFonts w:ascii="Arial" w:hAnsi="Arial" w:cs="Arial"/>
          <w:i/>
          <w:sz w:val="22"/>
          <w:szCs w:val="22"/>
          <w:lang w:val="en-CA"/>
        </w:rPr>
        <w:t>in</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which a pedestrian on the highway must yield the right of way over a</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driver, in these cases the driver must still exercise due care to avoid</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colliding with the pedestrian and give warning by sounding the horn when</w:t>
      </w:r>
      <w:r w:rsidR="006276C0" w:rsidRPr="0019776A">
        <w:rPr>
          <w:rFonts w:ascii="Arial" w:hAnsi="Arial" w:cs="Arial"/>
          <w:i/>
          <w:color w:val="000000"/>
          <w:lang w:val="en-CA"/>
        </w:rPr>
        <w:t xml:space="preserve"> </w:t>
      </w:r>
      <w:r w:rsidRPr="0019776A">
        <w:rPr>
          <w:rStyle w:val="fontstyle01"/>
          <w:rFonts w:ascii="Arial" w:hAnsi="Arial" w:cs="Arial"/>
          <w:i/>
          <w:sz w:val="22"/>
          <w:szCs w:val="22"/>
          <w:lang w:val="en-CA"/>
        </w:rPr>
        <w:t>necessary; s. 181(a) and (b).</w:t>
      </w:r>
    </w:p>
    <w:p w14:paraId="4471AAF7" w14:textId="2FCBA1DC" w:rsidR="00E745D9" w:rsidRPr="0019776A" w:rsidRDefault="00E745D9" w:rsidP="00950E18">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Gomery </w:t>
      </w:r>
      <w:r w:rsidR="007F10E8">
        <w:rPr>
          <w:rFonts w:ascii="Arial" w:hAnsi="Arial" w:cs="Arial"/>
          <w:sz w:val="24"/>
          <w:szCs w:val="24"/>
          <w:lang w:val="en-CA"/>
        </w:rPr>
        <w:t xml:space="preserve">J. </w:t>
      </w:r>
      <w:r w:rsidRPr="0019776A">
        <w:rPr>
          <w:rFonts w:ascii="Arial" w:hAnsi="Arial" w:cs="Arial"/>
          <w:sz w:val="24"/>
          <w:szCs w:val="24"/>
          <w:lang w:val="en-CA"/>
        </w:rPr>
        <w:t>ultimately determined that the collision was caused by the defendant’s conduct which was negligent in three ways, each of which independently caused the collision: driving without due care and attention, at an excessive speed, and on the wrong side of the road (at paras. 42-46):</w:t>
      </w:r>
    </w:p>
    <w:p w14:paraId="57B8941B" w14:textId="4DFB6E44" w:rsidR="00950E18" w:rsidRPr="0019776A" w:rsidRDefault="00E745D9" w:rsidP="00CE0879">
      <w:pPr>
        <w:spacing w:before="240" w:line="276" w:lineRule="auto"/>
        <w:ind w:left="720" w:right="720"/>
        <w:jc w:val="both"/>
        <w:rPr>
          <w:rStyle w:val="fontstyle01"/>
          <w:rFonts w:ascii="Arial" w:hAnsi="Arial" w:cs="Arial"/>
          <w:i/>
          <w:sz w:val="22"/>
          <w:lang w:val="en-CA"/>
        </w:rPr>
      </w:pPr>
      <w:r w:rsidRPr="0019776A">
        <w:rPr>
          <w:rStyle w:val="fontstyle01"/>
          <w:rFonts w:ascii="Arial" w:hAnsi="Arial" w:cs="Arial"/>
          <w:i/>
          <w:sz w:val="22"/>
          <w:lang w:val="en-CA"/>
        </w:rPr>
        <w:t>[42] At the time of the collision, Ms. Finnigan was breaching these rules. She was</w:t>
      </w:r>
      <w:r w:rsidRPr="0019776A">
        <w:rPr>
          <w:rFonts w:ascii="Arial" w:hAnsi="Arial" w:cs="Arial"/>
          <w:i/>
          <w:color w:val="000000"/>
          <w:sz w:val="20"/>
          <w:lang w:val="en-CA"/>
        </w:rPr>
        <w:br/>
      </w:r>
      <w:r w:rsidRPr="0019776A">
        <w:rPr>
          <w:rStyle w:val="fontstyle01"/>
          <w:rFonts w:ascii="Arial" w:hAnsi="Arial" w:cs="Arial"/>
          <w:i/>
          <w:sz w:val="22"/>
          <w:lang w:val="en-CA"/>
        </w:rPr>
        <w:t>driving at 40 to 44 kph, well in excess of the posted speed limit of 30 kph. She was</w:t>
      </w:r>
      <w:r w:rsidRPr="0019776A">
        <w:rPr>
          <w:rFonts w:ascii="Arial" w:hAnsi="Arial" w:cs="Arial"/>
          <w:i/>
          <w:color w:val="000000"/>
          <w:sz w:val="20"/>
          <w:lang w:val="en-CA"/>
        </w:rPr>
        <w:br/>
      </w:r>
      <w:r w:rsidRPr="0019776A">
        <w:rPr>
          <w:rStyle w:val="fontstyle01"/>
          <w:rFonts w:ascii="Arial" w:hAnsi="Arial" w:cs="Arial"/>
          <w:i/>
          <w:sz w:val="22"/>
          <w:lang w:val="en-CA"/>
        </w:rPr>
        <w:t>driving on the left-hand half of the roadway when there was room for her to drive on</w:t>
      </w:r>
      <w:r w:rsidR="003B4C60">
        <w:rPr>
          <w:rStyle w:val="fontstyle01"/>
          <w:rFonts w:ascii="Arial" w:hAnsi="Arial" w:cs="Arial"/>
          <w:i/>
          <w:sz w:val="22"/>
          <w:lang w:val="en-CA"/>
        </w:rPr>
        <w:t xml:space="preserve"> </w:t>
      </w:r>
      <w:r w:rsidRPr="0019776A">
        <w:rPr>
          <w:rStyle w:val="fontstyle01"/>
          <w:rFonts w:ascii="Arial" w:hAnsi="Arial" w:cs="Arial"/>
          <w:i/>
          <w:sz w:val="22"/>
          <w:lang w:val="en-CA"/>
        </w:rPr>
        <w:t>the right.</w:t>
      </w:r>
    </w:p>
    <w:p w14:paraId="5F16A97F" w14:textId="77777777" w:rsidR="00950E18" w:rsidRPr="0019776A" w:rsidRDefault="00E745D9" w:rsidP="00CE0879">
      <w:pPr>
        <w:spacing w:before="120" w:line="276" w:lineRule="auto"/>
        <w:ind w:left="720" w:right="720"/>
        <w:jc w:val="both"/>
        <w:rPr>
          <w:rStyle w:val="fontstyle01"/>
          <w:rFonts w:ascii="Arial" w:hAnsi="Arial" w:cs="Arial"/>
          <w:i/>
          <w:sz w:val="22"/>
          <w:lang w:val="en-CA"/>
        </w:rPr>
      </w:pPr>
      <w:r w:rsidRPr="0019776A">
        <w:rPr>
          <w:rStyle w:val="fontstyle01"/>
          <w:rFonts w:ascii="Arial" w:hAnsi="Arial" w:cs="Arial"/>
          <w:i/>
          <w:sz w:val="22"/>
          <w:lang w:val="en-CA"/>
        </w:rPr>
        <w:t>[43] Ms. Finnigan was also driving without due care and attention. While the poor</w:t>
      </w:r>
      <w:r w:rsidRPr="0019776A">
        <w:rPr>
          <w:rFonts w:ascii="Arial" w:hAnsi="Arial" w:cs="Arial"/>
          <w:i/>
          <w:color w:val="000000"/>
          <w:sz w:val="20"/>
          <w:lang w:val="en-CA"/>
        </w:rPr>
        <w:br/>
      </w:r>
      <w:r w:rsidRPr="0019776A">
        <w:rPr>
          <w:rStyle w:val="fontstyle01"/>
          <w:rFonts w:ascii="Arial" w:hAnsi="Arial" w:cs="Arial"/>
          <w:i/>
          <w:sz w:val="22"/>
          <w:lang w:val="en-CA"/>
        </w:rPr>
        <w:t>visibility and Mr. Dewar’s dark clothing would inhibit her reaction time, once he was on the travelled part of the roadway, he was there to be seen, illuminated by her</w:t>
      </w:r>
      <w:r w:rsidRPr="0019776A">
        <w:rPr>
          <w:rFonts w:ascii="Arial" w:hAnsi="Arial" w:cs="Arial"/>
          <w:i/>
          <w:color w:val="000000"/>
          <w:sz w:val="20"/>
          <w:lang w:val="en-CA"/>
        </w:rPr>
        <w:br/>
      </w:r>
      <w:r w:rsidRPr="0019776A">
        <w:rPr>
          <w:rStyle w:val="fontstyle01"/>
          <w:rFonts w:ascii="Arial" w:hAnsi="Arial" w:cs="Arial"/>
          <w:i/>
          <w:sz w:val="22"/>
          <w:lang w:val="en-CA"/>
        </w:rPr>
        <w:t>headlights. Ms. Finnigan testifies that it is her habit to check her mirrors on entering</w:t>
      </w:r>
      <w:r w:rsidRPr="0019776A">
        <w:rPr>
          <w:rFonts w:ascii="Arial" w:hAnsi="Arial" w:cs="Arial"/>
          <w:i/>
          <w:color w:val="000000"/>
          <w:sz w:val="20"/>
          <w:lang w:val="en-CA"/>
        </w:rPr>
        <w:br/>
      </w:r>
      <w:r w:rsidRPr="0019776A">
        <w:rPr>
          <w:rStyle w:val="fontstyle01"/>
          <w:rFonts w:ascii="Arial" w:hAnsi="Arial" w:cs="Arial"/>
          <w:i/>
          <w:sz w:val="22"/>
          <w:lang w:val="en-CA"/>
        </w:rPr>
        <w:t>a new street and this may be the reason she failed to see Mr. Dewar as she</w:t>
      </w:r>
      <w:r w:rsidRPr="0019776A">
        <w:rPr>
          <w:rFonts w:ascii="Arial" w:hAnsi="Arial" w:cs="Arial"/>
          <w:i/>
          <w:color w:val="000000"/>
          <w:sz w:val="20"/>
          <w:lang w:val="en-CA"/>
        </w:rPr>
        <w:br/>
      </w:r>
      <w:r w:rsidRPr="0019776A">
        <w:rPr>
          <w:rStyle w:val="fontstyle01"/>
          <w:rFonts w:ascii="Arial" w:hAnsi="Arial" w:cs="Arial"/>
          <w:i/>
          <w:sz w:val="22"/>
          <w:lang w:val="en-CA"/>
        </w:rPr>
        <w:t>approached him. If this is what occurred, she should not have been travelling so</w:t>
      </w:r>
      <w:r w:rsidRPr="0019776A">
        <w:rPr>
          <w:rFonts w:ascii="Arial" w:hAnsi="Arial" w:cs="Arial"/>
          <w:i/>
          <w:color w:val="000000"/>
          <w:sz w:val="20"/>
          <w:lang w:val="en-CA"/>
        </w:rPr>
        <w:br/>
      </w:r>
      <w:r w:rsidRPr="0019776A">
        <w:rPr>
          <w:rStyle w:val="fontstyle01"/>
          <w:rFonts w:ascii="Arial" w:hAnsi="Arial" w:cs="Arial"/>
          <w:i/>
          <w:sz w:val="22"/>
          <w:lang w:val="en-CA"/>
        </w:rPr>
        <w:t>quickly on a residential street, under conditions of poor visibility, that she could not</w:t>
      </w:r>
      <w:r w:rsidRPr="0019776A">
        <w:rPr>
          <w:rFonts w:ascii="Arial" w:hAnsi="Arial" w:cs="Arial"/>
          <w:i/>
          <w:color w:val="000000"/>
          <w:sz w:val="20"/>
          <w:lang w:val="en-CA"/>
        </w:rPr>
        <w:br/>
      </w:r>
      <w:r w:rsidRPr="0019776A">
        <w:rPr>
          <w:rStyle w:val="fontstyle01"/>
          <w:rFonts w:ascii="Arial" w:hAnsi="Arial" w:cs="Arial"/>
          <w:i/>
          <w:sz w:val="22"/>
          <w:lang w:val="en-CA"/>
        </w:rPr>
        <w:t>check her mirrors without leaving herself time to spot and react to a pedestrian</w:t>
      </w:r>
      <w:r w:rsidRPr="0019776A">
        <w:rPr>
          <w:rFonts w:ascii="Arial" w:hAnsi="Arial" w:cs="Arial"/>
          <w:i/>
          <w:color w:val="000000"/>
          <w:sz w:val="20"/>
          <w:lang w:val="en-CA"/>
        </w:rPr>
        <w:br/>
      </w:r>
      <w:r w:rsidRPr="0019776A">
        <w:rPr>
          <w:rStyle w:val="fontstyle01"/>
          <w:rFonts w:ascii="Arial" w:hAnsi="Arial" w:cs="Arial"/>
          <w:i/>
          <w:sz w:val="22"/>
          <w:lang w:val="en-CA"/>
        </w:rPr>
        <w:t>crossing the street directly in front of her.</w:t>
      </w:r>
    </w:p>
    <w:p w14:paraId="0371573D" w14:textId="77777777" w:rsidR="00950E18" w:rsidRPr="0019776A" w:rsidRDefault="00E745D9" w:rsidP="00CE0879">
      <w:pPr>
        <w:spacing w:before="120" w:line="276" w:lineRule="auto"/>
        <w:ind w:left="720" w:right="720"/>
        <w:jc w:val="both"/>
        <w:rPr>
          <w:rStyle w:val="fontstyle01"/>
          <w:rFonts w:ascii="Arial" w:hAnsi="Arial" w:cs="Arial"/>
          <w:i/>
          <w:sz w:val="22"/>
          <w:lang w:val="en-CA"/>
        </w:rPr>
      </w:pPr>
      <w:r w:rsidRPr="0019776A">
        <w:rPr>
          <w:rStyle w:val="fontstyle01"/>
          <w:rFonts w:ascii="Arial" w:hAnsi="Arial" w:cs="Arial"/>
          <w:i/>
          <w:sz w:val="22"/>
          <w:lang w:val="en-CA"/>
        </w:rPr>
        <w:t>[44] I find that Ms. Finnigan was driving negligently, without taking reasonable</w:t>
      </w:r>
      <w:r w:rsidRPr="0019776A">
        <w:rPr>
          <w:rFonts w:ascii="Arial" w:hAnsi="Arial" w:cs="Arial"/>
          <w:i/>
          <w:color w:val="000000"/>
          <w:sz w:val="20"/>
          <w:lang w:val="en-CA"/>
        </w:rPr>
        <w:br/>
      </w:r>
      <w:r w:rsidRPr="0019776A">
        <w:rPr>
          <w:rStyle w:val="fontstyle01"/>
          <w:rFonts w:ascii="Arial" w:hAnsi="Arial" w:cs="Arial"/>
          <w:i/>
          <w:sz w:val="22"/>
          <w:lang w:val="en-CA"/>
        </w:rPr>
        <w:t>care for the safety of Mr. Dewar or any other pedestrian who might have been</w:t>
      </w:r>
      <w:r w:rsidRPr="0019776A">
        <w:rPr>
          <w:rFonts w:ascii="Arial" w:hAnsi="Arial" w:cs="Arial"/>
          <w:i/>
          <w:color w:val="000000"/>
          <w:sz w:val="20"/>
          <w:lang w:val="en-CA"/>
        </w:rPr>
        <w:br/>
      </w:r>
      <w:r w:rsidRPr="0019776A">
        <w:rPr>
          <w:rStyle w:val="fontstyle01"/>
          <w:rFonts w:ascii="Arial" w:hAnsi="Arial" w:cs="Arial"/>
          <w:i/>
          <w:sz w:val="22"/>
          <w:lang w:val="en-CA"/>
        </w:rPr>
        <w:t>crossing the street.</w:t>
      </w:r>
    </w:p>
    <w:p w14:paraId="2E2C7A6E" w14:textId="77777777" w:rsidR="00950E18" w:rsidRPr="0019776A" w:rsidRDefault="00E745D9" w:rsidP="00CE0879">
      <w:pPr>
        <w:spacing w:before="120" w:line="276" w:lineRule="auto"/>
        <w:ind w:left="720" w:right="720"/>
        <w:jc w:val="both"/>
        <w:rPr>
          <w:rStyle w:val="fontstyle01"/>
          <w:rFonts w:ascii="Arial" w:hAnsi="Arial" w:cs="Arial"/>
          <w:i/>
          <w:sz w:val="22"/>
          <w:lang w:val="en-CA"/>
        </w:rPr>
      </w:pPr>
      <w:r w:rsidRPr="0019776A">
        <w:rPr>
          <w:rStyle w:val="fontstyle01"/>
          <w:rFonts w:ascii="Arial" w:hAnsi="Arial" w:cs="Arial"/>
          <w:i/>
          <w:sz w:val="22"/>
          <w:lang w:val="en-CA"/>
        </w:rPr>
        <w:t>[45] The collision occurred because of Ms. Finnigan’s negligence. Had she been</w:t>
      </w:r>
      <w:r w:rsidRPr="0019776A">
        <w:rPr>
          <w:rFonts w:ascii="Arial" w:hAnsi="Arial" w:cs="Arial"/>
          <w:i/>
          <w:color w:val="000000"/>
          <w:sz w:val="20"/>
          <w:lang w:val="en-CA"/>
        </w:rPr>
        <w:br/>
      </w:r>
      <w:proofErr w:type="gramStart"/>
      <w:r w:rsidRPr="0019776A">
        <w:rPr>
          <w:rStyle w:val="fontstyle01"/>
          <w:rFonts w:ascii="Arial" w:hAnsi="Arial" w:cs="Arial"/>
          <w:i/>
          <w:sz w:val="22"/>
          <w:lang w:val="en-CA"/>
        </w:rPr>
        <w:t>driving more slowly,</w:t>
      </w:r>
      <w:proofErr w:type="gramEnd"/>
      <w:r w:rsidRPr="0019776A">
        <w:rPr>
          <w:rStyle w:val="fontstyle01"/>
          <w:rFonts w:ascii="Arial" w:hAnsi="Arial" w:cs="Arial"/>
          <w:i/>
          <w:sz w:val="22"/>
          <w:lang w:val="en-CA"/>
        </w:rPr>
        <w:t xml:space="preserve"> at the speed limit, I find that Mr. Dewar would have reached the</w:t>
      </w:r>
      <w:r w:rsidRPr="0019776A">
        <w:rPr>
          <w:rFonts w:ascii="Arial" w:hAnsi="Arial" w:cs="Arial"/>
          <w:i/>
          <w:color w:val="000000"/>
          <w:sz w:val="20"/>
          <w:lang w:val="en-CA"/>
        </w:rPr>
        <w:br/>
      </w:r>
      <w:r w:rsidRPr="0019776A">
        <w:rPr>
          <w:rStyle w:val="fontstyle01"/>
          <w:rFonts w:ascii="Arial" w:hAnsi="Arial" w:cs="Arial"/>
          <w:i/>
          <w:sz w:val="22"/>
          <w:lang w:val="en-CA"/>
        </w:rPr>
        <w:t>other side of the travelled roadway before Ms. Finnigan’s vehicle reached him. Had</w:t>
      </w:r>
      <w:r w:rsidRPr="0019776A">
        <w:rPr>
          <w:rFonts w:ascii="Arial" w:hAnsi="Arial" w:cs="Arial"/>
          <w:i/>
          <w:color w:val="000000"/>
          <w:sz w:val="20"/>
          <w:lang w:val="en-CA"/>
        </w:rPr>
        <w:br/>
      </w:r>
      <w:r w:rsidRPr="0019776A">
        <w:rPr>
          <w:rStyle w:val="fontstyle01"/>
          <w:rFonts w:ascii="Arial" w:hAnsi="Arial" w:cs="Arial"/>
          <w:i/>
          <w:sz w:val="22"/>
          <w:lang w:val="en-CA"/>
        </w:rPr>
        <w:t>Ms. Finnigan kept to the right-hand side of the road, Ms. Finnigan’s vehicle would</w:t>
      </w:r>
      <w:r w:rsidRPr="0019776A">
        <w:rPr>
          <w:rFonts w:ascii="Arial" w:hAnsi="Arial" w:cs="Arial"/>
          <w:i/>
          <w:color w:val="000000"/>
          <w:sz w:val="20"/>
          <w:lang w:val="en-CA"/>
        </w:rPr>
        <w:br/>
      </w:r>
      <w:r w:rsidRPr="0019776A">
        <w:rPr>
          <w:rStyle w:val="fontstyle01"/>
          <w:rFonts w:ascii="Arial" w:hAnsi="Arial" w:cs="Arial"/>
          <w:i/>
          <w:sz w:val="22"/>
          <w:lang w:val="en-CA"/>
        </w:rPr>
        <w:t>have passed behind Mr. Dewar as he crossed the road.</w:t>
      </w:r>
    </w:p>
    <w:p w14:paraId="7B619B6F" w14:textId="77777777" w:rsidR="00E745D9" w:rsidRPr="0019776A" w:rsidRDefault="00E745D9" w:rsidP="00CE0879">
      <w:pPr>
        <w:spacing w:before="120" w:line="276" w:lineRule="auto"/>
        <w:ind w:left="720" w:right="720"/>
        <w:jc w:val="both"/>
        <w:rPr>
          <w:rFonts w:ascii="Arial" w:hAnsi="Arial" w:cs="Arial"/>
          <w:i/>
          <w:color w:val="000000"/>
          <w:szCs w:val="24"/>
          <w:lang w:val="en-CA"/>
        </w:rPr>
      </w:pPr>
      <w:r w:rsidRPr="0019776A">
        <w:rPr>
          <w:rStyle w:val="fontstyle01"/>
          <w:rFonts w:ascii="Arial" w:hAnsi="Arial" w:cs="Arial"/>
          <w:i/>
          <w:sz w:val="22"/>
          <w:lang w:val="en-CA"/>
        </w:rPr>
        <w:t>[46] Ms. Finnigan’s failure to drive with due care and attention also caused the</w:t>
      </w:r>
      <w:r w:rsidRPr="0019776A">
        <w:rPr>
          <w:rFonts w:ascii="Arial" w:hAnsi="Arial" w:cs="Arial"/>
          <w:i/>
          <w:color w:val="000000"/>
          <w:sz w:val="20"/>
          <w:lang w:val="en-CA"/>
        </w:rPr>
        <w:br/>
      </w:r>
      <w:r w:rsidRPr="0019776A">
        <w:rPr>
          <w:rStyle w:val="fontstyle01"/>
          <w:rFonts w:ascii="Arial" w:hAnsi="Arial" w:cs="Arial"/>
          <w:i/>
          <w:sz w:val="22"/>
          <w:lang w:val="en-CA"/>
        </w:rPr>
        <w:t>accident. The reaction time of a driver labouring under conditions of poor visibility</w:t>
      </w:r>
      <w:r w:rsidRPr="0019776A">
        <w:rPr>
          <w:rFonts w:ascii="Arial" w:hAnsi="Arial" w:cs="Arial"/>
          <w:i/>
          <w:color w:val="000000"/>
          <w:sz w:val="20"/>
          <w:lang w:val="en-CA"/>
        </w:rPr>
        <w:br/>
      </w:r>
      <w:r w:rsidRPr="0019776A">
        <w:rPr>
          <w:rStyle w:val="fontstyle01"/>
          <w:rFonts w:ascii="Arial" w:hAnsi="Arial" w:cs="Arial"/>
          <w:i/>
          <w:sz w:val="22"/>
          <w:lang w:val="en-CA"/>
        </w:rPr>
        <w:t>would be approximately 2.4 seconds. Had she maintained a proper lookout, it is</w:t>
      </w:r>
      <w:r w:rsidRPr="0019776A">
        <w:rPr>
          <w:rFonts w:ascii="Arial" w:hAnsi="Arial" w:cs="Arial"/>
          <w:i/>
          <w:color w:val="000000"/>
          <w:sz w:val="20"/>
          <w:lang w:val="en-CA"/>
        </w:rPr>
        <w:br/>
      </w:r>
      <w:r w:rsidRPr="0019776A">
        <w:rPr>
          <w:rStyle w:val="fontstyle01"/>
          <w:rFonts w:ascii="Arial" w:hAnsi="Arial" w:cs="Arial"/>
          <w:i/>
          <w:sz w:val="22"/>
          <w:lang w:val="en-CA"/>
        </w:rPr>
        <w:t>likely that she would have spotted Mr. Dewar and would have had time to brake or</w:t>
      </w:r>
      <w:r w:rsidRPr="0019776A">
        <w:rPr>
          <w:rFonts w:ascii="Arial" w:hAnsi="Arial" w:cs="Arial"/>
          <w:i/>
          <w:color w:val="000000"/>
          <w:sz w:val="20"/>
          <w:lang w:val="en-CA"/>
        </w:rPr>
        <w:br/>
      </w:r>
      <w:r w:rsidRPr="0019776A">
        <w:rPr>
          <w:rStyle w:val="fontstyle01"/>
          <w:rFonts w:ascii="Arial" w:hAnsi="Arial" w:cs="Arial"/>
          <w:i/>
          <w:sz w:val="22"/>
          <w:lang w:val="en-CA"/>
        </w:rPr>
        <w:t>swerve sufficiently to avoid the collision.</w:t>
      </w:r>
    </w:p>
    <w:p w14:paraId="6A94EA7B" w14:textId="37B8BE03" w:rsidR="00E745D9" w:rsidRPr="0019776A" w:rsidRDefault="00E745D9" w:rsidP="00950E18">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In the second part of his analysis, Gomery </w:t>
      </w:r>
      <w:r w:rsidR="007F10E8">
        <w:rPr>
          <w:rFonts w:ascii="Arial" w:hAnsi="Arial" w:cs="Arial"/>
          <w:sz w:val="24"/>
          <w:szCs w:val="24"/>
          <w:lang w:val="en-CA"/>
        </w:rPr>
        <w:t xml:space="preserve">J. </w:t>
      </w:r>
      <w:r w:rsidRPr="0019776A">
        <w:rPr>
          <w:rFonts w:ascii="Arial" w:hAnsi="Arial" w:cs="Arial"/>
          <w:sz w:val="24"/>
          <w:szCs w:val="24"/>
          <w:lang w:val="en-CA"/>
        </w:rPr>
        <w:t>then went on to summarize the applicable duty of care of a pedestrian entering the roadway for his own safety in anticipating irregular or illegal conduct by drivers, which is derived from both statute and the common law (at paras. 49-51):</w:t>
      </w:r>
    </w:p>
    <w:p w14:paraId="6DF465F2" w14:textId="5DA4EE9B" w:rsidR="00950E18" w:rsidRPr="0019776A" w:rsidRDefault="00E745D9" w:rsidP="00CE0879">
      <w:pPr>
        <w:spacing w:before="240" w:line="276" w:lineRule="auto"/>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[49] In entering the roadway, Mr. Dewar was required to take reasonab</w:t>
      </w:r>
      <w:r w:rsidR="00950E18" w:rsidRPr="0019776A">
        <w:rPr>
          <w:rFonts w:ascii="Arial" w:eastAsia="Times New Roman" w:hAnsi="Arial" w:cs="Arial"/>
          <w:i/>
          <w:color w:val="000000"/>
          <w:lang w:val="en-CA"/>
        </w:rPr>
        <w:t xml:space="preserve">le care for his own safety. </w:t>
      </w:r>
      <w:r w:rsidRPr="0019776A">
        <w:rPr>
          <w:rFonts w:ascii="Arial" w:eastAsia="Times New Roman" w:hAnsi="Arial" w:cs="Arial"/>
          <w:i/>
          <w:color w:val="000000"/>
          <w:lang w:val="en-CA"/>
        </w:rPr>
        <w:t>Just as drivers are required to tak</w:t>
      </w:r>
      <w:r w:rsidR="00950E18" w:rsidRPr="0019776A">
        <w:rPr>
          <w:rFonts w:ascii="Arial" w:eastAsia="Times New Roman" w:hAnsi="Arial" w:cs="Arial"/>
          <w:i/>
          <w:color w:val="000000"/>
          <w:lang w:val="en-CA"/>
        </w:rPr>
        <w:t xml:space="preserve">e reasonable care to anticipate </w:t>
      </w:r>
      <w:r w:rsidRPr="0019776A">
        <w:rPr>
          <w:rFonts w:ascii="Arial" w:eastAsia="Times New Roman" w:hAnsi="Arial" w:cs="Arial"/>
          <w:i/>
          <w:color w:val="000000"/>
          <w:lang w:val="en-CA"/>
        </w:rPr>
        <w:t>apparent potential hazards arising even from irregula</w:t>
      </w:r>
      <w:r w:rsidR="00950E18" w:rsidRPr="0019776A">
        <w:rPr>
          <w:rFonts w:ascii="Arial" w:eastAsia="Times New Roman" w:hAnsi="Arial" w:cs="Arial"/>
          <w:i/>
          <w:color w:val="000000"/>
          <w:lang w:val="en-CA"/>
        </w:rPr>
        <w:t xml:space="preserve">r or illegal conduct on the part </w:t>
      </w:r>
      <w:r w:rsidRPr="0019776A">
        <w:rPr>
          <w:rFonts w:ascii="Arial" w:eastAsia="Times New Roman" w:hAnsi="Arial" w:cs="Arial"/>
          <w:i/>
          <w:color w:val="000000"/>
          <w:lang w:val="en-CA"/>
        </w:rPr>
        <w:t>of ped</w:t>
      </w:r>
      <w:r w:rsidR="00950E18" w:rsidRPr="0019776A">
        <w:rPr>
          <w:rFonts w:ascii="Arial" w:eastAsia="Times New Roman" w:hAnsi="Arial" w:cs="Arial"/>
          <w:i/>
          <w:color w:val="000000"/>
          <w:lang w:val="en-CA"/>
        </w:rPr>
        <w:t xml:space="preserve">estrians, pedestrians must take </w:t>
      </w:r>
      <w:r w:rsidRPr="0019776A">
        <w:rPr>
          <w:rFonts w:ascii="Arial" w:eastAsia="Times New Roman" w:hAnsi="Arial" w:cs="Arial"/>
          <w:i/>
          <w:color w:val="000000"/>
          <w:lang w:val="en-CA"/>
        </w:rPr>
        <w:t>reasonable care to anticipate equival</w:t>
      </w:r>
      <w:r w:rsidR="00950E18" w:rsidRPr="0019776A">
        <w:rPr>
          <w:rFonts w:ascii="Arial" w:eastAsia="Times New Roman" w:hAnsi="Arial" w:cs="Arial"/>
          <w:i/>
          <w:color w:val="000000"/>
          <w:lang w:val="en-CA"/>
        </w:rPr>
        <w:t xml:space="preserve">ent </w:t>
      </w:r>
      <w:r w:rsidRPr="0019776A">
        <w:rPr>
          <w:rFonts w:ascii="Arial" w:eastAsia="Times New Roman" w:hAnsi="Arial" w:cs="Arial"/>
          <w:i/>
          <w:color w:val="000000"/>
          <w:lang w:val="en-CA"/>
        </w:rPr>
        <w:t>conduct on the part of drivers. The duties</w:t>
      </w:r>
      <w:r w:rsidR="00950E18" w:rsidRPr="0019776A">
        <w:rPr>
          <w:rFonts w:ascii="Arial" w:eastAsia="Times New Roman" w:hAnsi="Arial" w:cs="Arial"/>
          <w:i/>
          <w:color w:val="000000"/>
          <w:lang w:val="en-CA"/>
        </w:rPr>
        <w:t xml:space="preserve"> of drivers and pedestrians are </w:t>
      </w:r>
      <w:r w:rsidRPr="0019776A">
        <w:rPr>
          <w:rFonts w:ascii="Arial" w:eastAsia="Times New Roman" w:hAnsi="Arial" w:cs="Arial"/>
          <w:i/>
          <w:color w:val="000000"/>
          <w:lang w:val="en-CA"/>
        </w:rPr>
        <w:t xml:space="preserve">symmetrical; each owes an equivalent duty; </w:t>
      </w:r>
      <w:r w:rsidRPr="0019776A">
        <w:rPr>
          <w:rFonts w:ascii="Arial" w:eastAsia="Times New Roman" w:hAnsi="Arial" w:cs="Arial"/>
          <w:i/>
          <w:iCs/>
          <w:color w:val="000000"/>
          <w:lang w:val="en-CA"/>
        </w:rPr>
        <w:t xml:space="preserve">Liston v. Striegler </w:t>
      </w:r>
      <w:r w:rsidR="00950E18" w:rsidRPr="0019776A">
        <w:rPr>
          <w:rFonts w:ascii="Arial" w:eastAsia="Times New Roman" w:hAnsi="Arial" w:cs="Arial"/>
          <w:i/>
          <w:color w:val="000000"/>
          <w:lang w:val="en-CA"/>
        </w:rPr>
        <w:t xml:space="preserve">(1996), </w:t>
      </w:r>
      <w:r w:rsidR="00950E18" w:rsidRPr="003B4C60">
        <w:rPr>
          <w:rFonts w:ascii="Arial" w:eastAsia="Times New Roman" w:hAnsi="Arial" w:cs="Arial"/>
          <w:i/>
          <w:lang w:val="en-CA"/>
        </w:rPr>
        <w:t xml:space="preserve">25 B.C.L.R. </w:t>
      </w:r>
      <w:r w:rsidRPr="003B4C60">
        <w:rPr>
          <w:rFonts w:ascii="Arial" w:eastAsia="Times New Roman" w:hAnsi="Arial" w:cs="Arial"/>
          <w:i/>
          <w:lang w:val="en-CA"/>
        </w:rPr>
        <w:t>(3d) 57 (C.A.)</w:t>
      </w:r>
      <w:r w:rsidRPr="0019776A">
        <w:rPr>
          <w:rFonts w:ascii="Arial" w:eastAsia="Times New Roman" w:hAnsi="Arial" w:cs="Arial"/>
          <w:i/>
          <w:color w:val="000000"/>
          <w:lang w:val="en-CA"/>
        </w:rPr>
        <w:t xml:space="preserve"> at para. 14, leave ref’d [1996] S.C.C.A. No. 477; </w:t>
      </w:r>
      <w:proofErr w:type="spellStart"/>
      <w:r w:rsidR="00950E18" w:rsidRPr="0019776A">
        <w:rPr>
          <w:rFonts w:ascii="Arial" w:eastAsia="Times New Roman" w:hAnsi="Arial" w:cs="Arial"/>
          <w:i/>
          <w:iCs/>
          <w:color w:val="000000"/>
          <w:lang w:val="en-CA"/>
        </w:rPr>
        <w:t>Mawani</w:t>
      </w:r>
      <w:proofErr w:type="spellEnd"/>
      <w:r w:rsidR="00950E18" w:rsidRPr="0019776A">
        <w:rPr>
          <w:rFonts w:ascii="Arial" w:eastAsia="Times New Roman" w:hAnsi="Arial" w:cs="Arial"/>
          <w:i/>
          <w:iCs/>
          <w:color w:val="000000"/>
          <w:lang w:val="en-CA"/>
        </w:rPr>
        <w:t xml:space="preserve"> v. Pitcairn, </w:t>
      </w:r>
      <w:r w:rsidRPr="003B4C60">
        <w:rPr>
          <w:rFonts w:ascii="Arial" w:eastAsia="Times New Roman" w:hAnsi="Arial" w:cs="Arial"/>
          <w:i/>
          <w:lang w:val="en-CA"/>
        </w:rPr>
        <w:t>2012 BCSC 1288</w:t>
      </w:r>
      <w:r w:rsidRPr="0019776A">
        <w:rPr>
          <w:rFonts w:ascii="Arial" w:eastAsia="Times New Roman" w:hAnsi="Arial" w:cs="Arial"/>
          <w:i/>
          <w:color w:val="000000"/>
          <w:lang w:val="en-CA"/>
        </w:rPr>
        <w:t xml:space="preserve"> at paras</w:t>
      </w:r>
      <w:r w:rsidR="00950E18" w:rsidRPr="0019776A">
        <w:rPr>
          <w:rFonts w:ascii="Arial" w:eastAsia="Times New Roman" w:hAnsi="Arial" w:cs="Arial"/>
          <w:i/>
          <w:color w:val="000000"/>
          <w:lang w:val="en-CA"/>
        </w:rPr>
        <w:t xml:space="preserve">. 103–106, aff’d </w:t>
      </w:r>
      <w:r w:rsidR="00950E18" w:rsidRPr="003B4C60">
        <w:rPr>
          <w:rFonts w:ascii="Arial" w:eastAsia="Times New Roman" w:hAnsi="Arial" w:cs="Arial"/>
          <w:i/>
          <w:lang w:val="en-CA"/>
        </w:rPr>
        <w:t>2013 BCCA 338</w:t>
      </w:r>
      <w:r w:rsidR="00950E18" w:rsidRPr="0019776A">
        <w:rPr>
          <w:rFonts w:ascii="Arial" w:eastAsia="Times New Roman" w:hAnsi="Arial" w:cs="Arial"/>
          <w:i/>
          <w:color w:val="000000"/>
          <w:lang w:val="en-CA"/>
        </w:rPr>
        <w:t>.</w:t>
      </w:r>
    </w:p>
    <w:p w14:paraId="53F7D904" w14:textId="77777777" w:rsidR="00E745D9" w:rsidRPr="0019776A" w:rsidRDefault="00E745D9" w:rsidP="00CE0879">
      <w:pPr>
        <w:spacing w:before="120" w:line="276" w:lineRule="auto"/>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[50] As with drivers, the content of a pedestrian’s d</w:t>
      </w:r>
      <w:r w:rsidR="00950E18" w:rsidRPr="0019776A">
        <w:rPr>
          <w:rFonts w:ascii="Arial" w:eastAsia="Times New Roman" w:hAnsi="Arial" w:cs="Arial"/>
          <w:i/>
          <w:color w:val="000000"/>
          <w:lang w:val="en-CA"/>
        </w:rPr>
        <w:t xml:space="preserve">uty to take care is informed by </w:t>
      </w:r>
      <w:r w:rsidRPr="0019776A">
        <w:rPr>
          <w:rFonts w:ascii="Arial" w:eastAsia="Times New Roman" w:hAnsi="Arial" w:cs="Arial"/>
          <w:i/>
          <w:color w:val="000000"/>
          <w:lang w:val="en-CA"/>
        </w:rPr>
        <w:t xml:space="preserve">legislated rules. A rule of significance in this case is stated in s. 180 of the </w:t>
      </w:r>
      <w:r w:rsidRPr="0019776A">
        <w:rPr>
          <w:rFonts w:ascii="Arial" w:eastAsia="Times New Roman" w:hAnsi="Arial" w:cs="Arial"/>
          <w:i/>
          <w:iCs/>
          <w:color w:val="000000"/>
          <w:lang w:val="en-CA"/>
        </w:rPr>
        <w:t>MVA</w:t>
      </w:r>
      <w:r w:rsidR="00950E18" w:rsidRPr="0019776A">
        <w:rPr>
          <w:rFonts w:ascii="Arial" w:eastAsia="Times New Roman" w:hAnsi="Arial" w:cs="Arial"/>
          <w:i/>
          <w:color w:val="000000"/>
          <w:lang w:val="en-CA"/>
        </w:rPr>
        <w:t xml:space="preserve">: </w:t>
      </w:r>
      <w:r w:rsidRPr="0019776A">
        <w:rPr>
          <w:rFonts w:ascii="Arial" w:eastAsia="Times New Roman" w:hAnsi="Arial" w:cs="Arial"/>
          <w:i/>
          <w:color w:val="000000"/>
          <w:lang w:val="en-CA"/>
        </w:rPr>
        <w:t xml:space="preserve">When a pedestrian is crossing a highway at </w:t>
      </w:r>
      <w:r w:rsidR="00950E18" w:rsidRPr="0019776A">
        <w:rPr>
          <w:rFonts w:ascii="Arial" w:eastAsia="Times New Roman" w:hAnsi="Arial" w:cs="Arial"/>
          <w:i/>
          <w:color w:val="000000"/>
          <w:lang w:val="en-CA"/>
        </w:rPr>
        <w:t xml:space="preserve">a point not in a crosswalk, the </w:t>
      </w:r>
      <w:r w:rsidRPr="0019776A">
        <w:rPr>
          <w:rFonts w:ascii="Arial" w:eastAsia="Times New Roman" w:hAnsi="Arial" w:cs="Arial"/>
          <w:i/>
          <w:color w:val="000000"/>
          <w:lang w:val="en-CA"/>
        </w:rPr>
        <w:t>pedestrian must yield the right of way to a vehicle.</w:t>
      </w:r>
    </w:p>
    <w:p w14:paraId="664D6211" w14:textId="77777777" w:rsidR="00E745D9" w:rsidRPr="0019776A" w:rsidRDefault="00E745D9" w:rsidP="00CE0879">
      <w:pPr>
        <w:spacing w:before="120" w:line="276" w:lineRule="auto"/>
        <w:ind w:left="720" w:right="720"/>
        <w:jc w:val="both"/>
        <w:rPr>
          <w:rFonts w:ascii="Arial" w:hAnsi="Arial" w:cs="Arial"/>
          <w:i/>
          <w:lang w:val="en-CA"/>
        </w:rPr>
      </w:pPr>
      <w:r w:rsidRPr="0019776A">
        <w:rPr>
          <w:rFonts w:ascii="Arial" w:eastAsia="Times New Roman" w:hAnsi="Arial" w:cs="Arial"/>
          <w:i/>
          <w:color w:val="000000"/>
          <w:lang w:val="en-CA"/>
        </w:rPr>
        <w:t xml:space="preserve">[51] In addition to s. 180, the defendant relies on s. 12(1) of By-Law 2849. It states: </w:t>
      </w:r>
      <w:r w:rsidR="00950E18" w:rsidRPr="0019776A">
        <w:rPr>
          <w:rFonts w:ascii="Arial" w:eastAsia="Times New Roman" w:hAnsi="Arial" w:cs="Arial"/>
          <w:i/>
          <w:color w:val="000000"/>
          <w:lang w:val="en-CA"/>
        </w:rPr>
        <w:t xml:space="preserve">Every </w:t>
      </w:r>
      <w:r w:rsidRPr="0019776A">
        <w:rPr>
          <w:rFonts w:ascii="Arial" w:eastAsia="Times New Roman" w:hAnsi="Arial" w:cs="Arial"/>
          <w:i/>
          <w:color w:val="000000"/>
          <w:lang w:val="en-CA"/>
        </w:rPr>
        <w:t>pedestrian crossing a roadway at any p</w:t>
      </w:r>
      <w:r w:rsidR="00950E18" w:rsidRPr="0019776A">
        <w:rPr>
          <w:rFonts w:ascii="Arial" w:eastAsia="Times New Roman" w:hAnsi="Arial" w:cs="Arial"/>
          <w:i/>
          <w:color w:val="000000"/>
          <w:lang w:val="en-CA"/>
        </w:rPr>
        <w:t xml:space="preserve">oint other than within a marked </w:t>
      </w:r>
      <w:r w:rsidRPr="0019776A">
        <w:rPr>
          <w:rFonts w:ascii="Arial" w:eastAsia="Times New Roman" w:hAnsi="Arial" w:cs="Arial"/>
          <w:i/>
          <w:color w:val="000000"/>
          <w:lang w:val="en-CA"/>
        </w:rPr>
        <w:t xml:space="preserve">crosswalk or within an unmarked crosswalk at </w:t>
      </w:r>
      <w:r w:rsidR="00950E18" w:rsidRPr="0019776A">
        <w:rPr>
          <w:rFonts w:ascii="Arial" w:eastAsia="Times New Roman" w:hAnsi="Arial" w:cs="Arial"/>
          <w:i/>
          <w:color w:val="000000"/>
          <w:lang w:val="en-CA"/>
        </w:rPr>
        <w:t xml:space="preserve">an intersection, shall give the </w:t>
      </w:r>
      <w:r w:rsidRPr="0019776A">
        <w:rPr>
          <w:rFonts w:ascii="Arial" w:eastAsia="Times New Roman" w:hAnsi="Arial" w:cs="Arial"/>
          <w:i/>
          <w:color w:val="000000"/>
          <w:lang w:val="en-CA"/>
        </w:rPr>
        <w:t>right-of-way to all vehicles upon the roadway.</w:t>
      </w:r>
    </w:p>
    <w:p w14:paraId="41B80A6E" w14:textId="68C338F0" w:rsidR="00E745D9" w:rsidRPr="0019776A" w:rsidRDefault="00E745D9" w:rsidP="00950E18">
      <w:pPr>
        <w:pStyle w:val="ListParagraph"/>
        <w:numPr>
          <w:ilvl w:val="0"/>
          <w:numId w:val="2"/>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Gomery </w:t>
      </w:r>
      <w:r w:rsidR="007F10E8">
        <w:rPr>
          <w:rFonts w:ascii="Arial" w:hAnsi="Arial" w:cs="Arial"/>
          <w:sz w:val="24"/>
          <w:szCs w:val="24"/>
          <w:lang w:val="en-CA"/>
        </w:rPr>
        <w:t xml:space="preserve">J. </w:t>
      </w:r>
      <w:r w:rsidRPr="0019776A">
        <w:rPr>
          <w:rFonts w:ascii="Arial" w:hAnsi="Arial" w:cs="Arial"/>
          <w:sz w:val="24"/>
          <w:szCs w:val="24"/>
          <w:lang w:val="en-CA"/>
        </w:rPr>
        <w:t xml:space="preserve">agreed with the plaintiff’s argument that neither of the above legislated rules required the plaintiff to yield the right of way to a vehicle driving on the wrong side of the road. Gomery </w:t>
      </w:r>
      <w:r w:rsidR="007F10E8">
        <w:rPr>
          <w:rFonts w:ascii="Arial" w:hAnsi="Arial" w:cs="Arial"/>
          <w:sz w:val="24"/>
          <w:szCs w:val="24"/>
          <w:lang w:val="en-CA"/>
        </w:rPr>
        <w:t xml:space="preserve">J. </w:t>
      </w:r>
      <w:r w:rsidRPr="0019776A">
        <w:rPr>
          <w:rFonts w:ascii="Arial" w:hAnsi="Arial" w:cs="Arial"/>
          <w:sz w:val="24"/>
          <w:szCs w:val="24"/>
          <w:lang w:val="en-CA"/>
        </w:rPr>
        <w:t>thus reframed the issue as whether the plaintiff took reasonable care for his own safety and concluded he had not, and that a cause of the collision was the plaintiff’s contributorily negligence (at paras. 52-53, 66):</w:t>
      </w:r>
    </w:p>
    <w:p w14:paraId="4C74F926" w14:textId="77777777" w:rsidR="00410F54" w:rsidRPr="0019776A" w:rsidRDefault="00E745D9" w:rsidP="00CE0879">
      <w:pPr>
        <w:spacing w:before="240" w:line="276" w:lineRule="auto"/>
        <w:ind w:left="720" w:right="720"/>
        <w:jc w:val="both"/>
        <w:rPr>
          <w:rStyle w:val="fontstyle01"/>
          <w:rFonts w:ascii="Arial" w:hAnsi="Arial" w:cs="Arial"/>
          <w:i/>
          <w:sz w:val="22"/>
          <w:lang w:val="en-CA"/>
        </w:rPr>
      </w:pPr>
      <w:r w:rsidRPr="0019776A">
        <w:rPr>
          <w:rStyle w:val="fontstyle01"/>
          <w:rFonts w:ascii="Arial" w:hAnsi="Arial" w:cs="Arial"/>
          <w:i/>
          <w:sz w:val="22"/>
          <w:lang w:val="en-CA"/>
        </w:rPr>
        <w:t xml:space="preserve">[52] Mr. Dewar maintains that neither </w:t>
      </w:r>
      <w:r w:rsidRPr="0019776A">
        <w:rPr>
          <w:rStyle w:val="fontstyle21"/>
          <w:rFonts w:ascii="Arial" w:hAnsi="Arial" w:cs="Arial"/>
          <w:i w:val="0"/>
          <w:sz w:val="22"/>
          <w:lang w:val="en-CA"/>
        </w:rPr>
        <w:t xml:space="preserve">MVA </w:t>
      </w:r>
      <w:r w:rsidRPr="0019776A">
        <w:rPr>
          <w:rStyle w:val="fontstyle01"/>
          <w:rFonts w:ascii="Arial" w:hAnsi="Arial" w:cs="Arial"/>
          <w:i/>
          <w:sz w:val="22"/>
          <w:lang w:val="en-CA"/>
        </w:rPr>
        <w:t>s. 180 nor s. 12(1) of By-Law 2849 go</w:t>
      </w:r>
      <w:r w:rsidRPr="0019776A">
        <w:rPr>
          <w:rFonts w:ascii="Arial" w:hAnsi="Arial" w:cs="Arial"/>
          <w:i/>
          <w:color w:val="000000"/>
          <w:sz w:val="20"/>
          <w:lang w:val="en-CA"/>
        </w:rPr>
        <w:br/>
      </w:r>
      <w:r w:rsidRPr="0019776A">
        <w:rPr>
          <w:rStyle w:val="fontstyle01"/>
          <w:rFonts w:ascii="Arial" w:hAnsi="Arial" w:cs="Arial"/>
          <w:i/>
          <w:sz w:val="22"/>
          <w:lang w:val="en-CA"/>
        </w:rPr>
        <w:t>so far as to require him to yield the right of way to a vehicle travelling up the wrong</w:t>
      </w:r>
      <w:r w:rsidRPr="0019776A">
        <w:rPr>
          <w:rFonts w:ascii="Arial" w:hAnsi="Arial" w:cs="Arial"/>
          <w:i/>
          <w:color w:val="000000"/>
          <w:sz w:val="20"/>
          <w:lang w:val="en-CA"/>
        </w:rPr>
        <w:br/>
      </w:r>
      <w:r w:rsidRPr="0019776A">
        <w:rPr>
          <w:rStyle w:val="fontstyle01"/>
          <w:rFonts w:ascii="Arial" w:hAnsi="Arial" w:cs="Arial"/>
          <w:i/>
          <w:sz w:val="22"/>
          <w:lang w:val="en-CA"/>
        </w:rPr>
        <w:t>side of the street.</w:t>
      </w:r>
    </w:p>
    <w:p w14:paraId="3E8702D1" w14:textId="77777777" w:rsidR="00410F54" w:rsidRPr="0019776A" w:rsidRDefault="00E745D9" w:rsidP="00CE0879">
      <w:pPr>
        <w:spacing w:before="120" w:line="276" w:lineRule="auto"/>
        <w:ind w:left="720" w:right="720"/>
        <w:jc w:val="both"/>
        <w:rPr>
          <w:rStyle w:val="fontstyle01"/>
          <w:rFonts w:ascii="Arial" w:hAnsi="Arial" w:cs="Arial"/>
          <w:i/>
          <w:sz w:val="22"/>
          <w:lang w:val="en-CA"/>
        </w:rPr>
      </w:pPr>
      <w:r w:rsidRPr="0019776A">
        <w:rPr>
          <w:rStyle w:val="fontstyle01"/>
          <w:rFonts w:ascii="Arial" w:hAnsi="Arial" w:cs="Arial"/>
          <w:i/>
          <w:sz w:val="22"/>
          <w:lang w:val="en-CA"/>
        </w:rPr>
        <w:t>[53] I agree with Mr. Dewar that, given Ms. Finnigan’s position on the wrong side</w:t>
      </w:r>
      <w:r w:rsidRPr="0019776A">
        <w:rPr>
          <w:rFonts w:ascii="Arial" w:hAnsi="Arial" w:cs="Arial"/>
          <w:i/>
          <w:color w:val="000000"/>
          <w:sz w:val="20"/>
          <w:lang w:val="en-CA"/>
        </w:rPr>
        <w:br/>
      </w:r>
      <w:r w:rsidRPr="0019776A">
        <w:rPr>
          <w:rStyle w:val="fontstyle01"/>
          <w:rFonts w:ascii="Arial" w:hAnsi="Arial" w:cs="Arial"/>
          <w:i/>
          <w:sz w:val="22"/>
          <w:lang w:val="en-CA"/>
        </w:rPr>
        <w:t>of the road, it is not helpful to frame the issue in this case by asking who had the</w:t>
      </w:r>
      <w:r w:rsidRPr="0019776A">
        <w:rPr>
          <w:rFonts w:ascii="Arial" w:hAnsi="Arial" w:cs="Arial"/>
          <w:i/>
          <w:color w:val="000000"/>
          <w:sz w:val="20"/>
          <w:lang w:val="en-CA"/>
        </w:rPr>
        <w:br/>
      </w:r>
      <w:r w:rsidRPr="0019776A">
        <w:rPr>
          <w:rStyle w:val="fontstyle01"/>
          <w:rFonts w:ascii="Arial" w:hAnsi="Arial" w:cs="Arial"/>
          <w:i/>
          <w:sz w:val="22"/>
          <w:lang w:val="en-CA"/>
        </w:rPr>
        <w:t>right-of-way. The fundamental question is whether Mr. Dewar took reasonable care</w:t>
      </w:r>
      <w:r w:rsidRPr="0019776A">
        <w:rPr>
          <w:rFonts w:ascii="Arial" w:hAnsi="Arial" w:cs="Arial"/>
          <w:i/>
          <w:color w:val="000000"/>
          <w:sz w:val="20"/>
          <w:lang w:val="en-CA"/>
        </w:rPr>
        <w:br/>
      </w:r>
      <w:r w:rsidRPr="0019776A">
        <w:rPr>
          <w:rStyle w:val="fontstyle01"/>
          <w:rFonts w:ascii="Arial" w:hAnsi="Arial" w:cs="Arial"/>
          <w:i/>
          <w:sz w:val="22"/>
          <w:lang w:val="en-CA"/>
        </w:rPr>
        <w:t>for his own safety.</w:t>
      </w:r>
    </w:p>
    <w:p w14:paraId="5C83E7DD" w14:textId="77777777" w:rsidR="00470704" w:rsidRPr="0019776A" w:rsidRDefault="00921AAB" w:rsidP="00CE0879">
      <w:pPr>
        <w:spacing w:before="120" w:line="276" w:lineRule="auto"/>
        <w:ind w:left="720" w:right="720"/>
        <w:jc w:val="center"/>
        <w:rPr>
          <w:rFonts w:ascii="Arial" w:hAnsi="Arial" w:cs="Arial"/>
          <w:i/>
          <w:color w:val="000000"/>
          <w:szCs w:val="24"/>
          <w:lang w:val="en-CA"/>
        </w:rPr>
      </w:pPr>
      <w:r w:rsidRPr="0019776A">
        <w:rPr>
          <w:rStyle w:val="fontstyle01"/>
          <w:rFonts w:ascii="Arial" w:hAnsi="Arial" w:cs="Arial"/>
          <w:i/>
          <w:sz w:val="22"/>
          <w:lang w:val="en-CA"/>
        </w:rPr>
        <w:t>[</w:t>
      </w:r>
      <w:r w:rsidR="00470704" w:rsidRPr="0019776A">
        <w:rPr>
          <w:rStyle w:val="fontstyle01"/>
          <w:rFonts w:ascii="Arial" w:hAnsi="Arial" w:cs="Arial"/>
          <w:i/>
          <w:sz w:val="22"/>
          <w:lang w:val="en-CA"/>
        </w:rPr>
        <w:t>…</w:t>
      </w:r>
      <w:r w:rsidRPr="0019776A">
        <w:rPr>
          <w:rStyle w:val="fontstyle01"/>
          <w:rFonts w:ascii="Arial" w:hAnsi="Arial" w:cs="Arial"/>
          <w:i/>
          <w:sz w:val="22"/>
          <w:lang w:val="en-CA"/>
        </w:rPr>
        <w:t>]</w:t>
      </w:r>
    </w:p>
    <w:p w14:paraId="4B62DE41" w14:textId="77777777" w:rsidR="00E745D9" w:rsidRPr="0019776A" w:rsidRDefault="00E745D9" w:rsidP="00CE0879">
      <w:pPr>
        <w:spacing w:before="120" w:line="276" w:lineRule="auto"/>
        <w:ind w:left="720" w:right="720"/>
        <w:jc w:val="both"/>
        <w:rPr>
          <w:rStyle w:val="fontstyle01"/>
          <w:rFonts w:ascii="Arial" w:hAnsi="Arial" w:cs="Arial"/>
          <w:i/>
          <w:color w:val="auto"/>
          <w:sz w:val="22"/>
          <w:lang w:val="en-CA"/>
        </w:rPr>
      </w:pPr>
      <w:r w:rsidRPr="0019776A">
        <w:rPr>
          <w:rStyle w:val="fontstyle01"/>
          <w:rFonts w:ascii="Arial" w:hAnsi="Arial" w:cs="Arial"/>
          <w:i/>
          <w:sz w:val="22"/>
          <w:lang w:val="en-CA"/>
        </w:rPr>
        <w:t>[66] I find that, had Mr. Dewar exercised reasonable care, he would have waited</w:t>
      </w:r>
      <w:r w:rsidRPr="0019776A">
        <w:rPr>
          <w:rFonts w:ascii="Arial" w:hAnsi="Arial" w:cs="Arial"/>
          <w:i/>
          <w:color w:val="000000"/>
          <w:sz w:val="20"/>
          <w:lang w:val="en-CA"/>
        </w:rPr>
        <w:br/>
      </w:r>
      <w:r w:rsidRPr="0019776A">
        <w:rPr>
          <w:rStyle w:val="fontstyle01"/>
          <w:rFonts w:ascii="Arial" w:hAnsi="Arial" w:cs="Arial"/>
          <w:i/>
          <w:sz w:val="22"/>
          <w:lang w:val="en-CA"/>
        </w:rPr>
        <w:t>to cross the street and avoided being hit. His contributory negligence was a cause</w:t>
      </w:r>
      <w:r w:rsidRPr="0019776A">
        <w:rPr>
          <w:rFonts w:ascii="Arial" w:hAnsi="Arial" w:cs="Arial"/>
          <w:i/>
          <w:color w:val="000000"/>
          <w:sz w:val="20"/>
          <w:lang w:val="en-CA"/>
        </w:rPr>
        <w:br/>
      </w:r>
      <w:r w:rsidRPr="0019776A">
        <w:rPr>
          <w:rStyle w:val="fontstyle01"/>
          <w:rFonts w:ascii="Arial" w:hAnsi="Arial" w:cs="Arial"/>
          <w:i/>
          <w:sz w:val="22"/>
          <w:lang w:val="en-CA"/>
        </w:rPr>
        <w:t>of the accident.</w:t>
      </w:r>
    </w:p>
    <w:p w14:paraId="2AF53CB4" w14:textId="4FB4126F" w:rsidR="00E745D9" w:rsidRPr="0019776A" w:rsidRDefault="00E745D9" w:rsidP="00950E18">
      <w:pPr>
        <w:pStyle w:val="ListParagraph"/>
        <w:numPr>
          <w:ilvl w:val="0"/>
          <w:numId w:val="2"/>
        </w:numPr>
        <w:spacing w:before="240" w:line="276" w:lineRule="auto"/>
        <w:ind w:left="360"/>
        <w:contextualSpacing w:val="0"/>
        <w:jc w:val="both"/>
        <w:rPr>
          <w:rFonts w:ascii="Arial" w:hAnsi="Arial" w:cs="Arial"/>
          <w:lang w:val="en-CA"/>
        </w:rPr>
      </w:pPr>
      <w:r w:rsidRPr="0019776A">
        <w:rPr>
          <w:rFonts w:ascii="Arial" w:hAnsi="Arial" w:cs="Arial"/>
          <w:sz w:val="24"/>
          <w:szCs w:val="24"/>
          <w:lang w:val="en-CA"/>
        </w:rPr>
        <w:t xml:space="preserve">In apportioning liability between the defendant and the plaintiff, Gomery </w:t>
      </w:r>
      <w:r w:rsidR="007F10E8">
        <w:rPr>
          <w:rFonts w:ascii="Arial" w:hAnsi="Arial" w:cs="Arial"/>
          <w:sz w:val="24"/>
          <w:szCs w:val="24"/>
          <w:lang w:val="en-CA"/>
        </w:rPr>
        <w:t xml:space="preserve">J. </w:t>
      </w:r>
      <w:r w:rsidRPr="0019776A">
        <w:rPr>
          <w:rFonts w:ascii="Arial" w:hAnsi="Arial" w:cs="Arial"/>
          <w:sz w:val="24"/>
          <w:szCs w:val="24"/>
          <w:lang w:val="en-CA"/>
        </w:rPr>
        <w:t>summarized the applicable statute and common law, balancing the defendant’s negligence against the plaintiff’s contributory negligence and finding the defendant 65% at fault (paras. 67-71):</w:t>
      </w:r>
    </w:p>
    <w:p w14:paraId="1D269E1C" w14:textId="77777777" w:rsidR="00470704" w:rsidRPr="0019776A" w:rsidRDefault="00E745D9" w:rsidP="00CE0879">
      <w:pPr>
        <w:tabs>
          <w:tab w:val="left" w:pos="8640"/>
        </w:tabs>
        <w:spacing w:before="240" w:line="276" w:lineRule="auto"/>
        <w:ind w:left="720" w:right="720"/>
        <w:jc w:val="both"/>
        <w:rPr>
          <w:rStyle w:val="fontstyle01"/>
          <w:rFonts w:ascii="Arial" w:hAnsi="Arial" w:cs="Arial"/>
          <w:i/>
          <w:sz w:val="22"/>
          <w:szCs w:val="22"/>
          <w:lang w:val="en-CA"/>
        </w:rPr>
      </w:pPr>
      <w:r w:rsidRPr="0019776A">
        <w:rPr>
          <w:rStyle w:val="fontstyle01"/>
          <w:rFonts w:ascii="Arial" w:hAnsi="Arial" w:cs="Arial"/>
          <w:i/>
          <w:sz w:val="22"/>
          <w:szCs w:val="22"/>
          <w:lang w:val="en-CA"/>
        </w:rPr>
        <w:t xml:space="preserve">[67] Section 1(1) of the </w:t>
      </w:r>
      <w:r w:rsidRPr="003B4C60">
        <w:rPr>
          <w:rStyle w:val="fontstyle21"/>
          <w:rFonts w:ascii="Arial" w:hAnsi="Arial" w:cs="Arial"/>
          <w:sz w:val="22"/>
          <w:szCs w:val="22"/>
          <w:lang w:val="en-CA"/>
        </w:rPr>
        <w:t>Negligence Act</w:t>
      </w:r>
      <w:r w:rsidRPr="0019776A">
        <w:rPr>
          <w:rStyle w:val="fontstyle21"/>
          <w:rFonts w:ascii="Arial" w:hAnsi="Arial" w:cs="Arial"/>
          <w:i w:val="0"/>
          <w:sz w:val="22"/>
          <w:szCs w:val="22"/>
          <w:lang w:val="en-CA"/>
        </w:rPr>
        <w:t xml:space="preserve">, </w:t>
      </w:r>
      <w:r w:rsidRPr="0019776A">
        <w:rPr>
          <w:rStyle w:val="fontstyle01"/>
          <w:rFonts w:ascii="Arial" w:hAnsi="Arial" w:cs="Arial"/>
          <w:i/>
          <w:sz w:val="22"/>
          <w:szCs w:val="22"/>
          <w:lang w:val="en-CA"/>
        </w:rPr>
        <w:t>R.S.B.C. 1996, c. 333, requires me to</w:t>
      </w:r>
      <w:r w:rsidRPr="0019776A">
        <w:rPr>
          <w:rFonts w:ascii="Arial" w:hAnsi="Arial" w:cs="Arial"/>
          <w:i/>
          <w:color w:val="000000"/>
          <w:lang w:val="en-CA"/>
        </w:rPr>
        <w:br/>
      </w:r>
      <w:r w:rsidRPr="0019776A">
        <w:rPr>
          <w:rStyle w:val="fontstyle01"/>
          <w:rFonts w:ascii="Arial" w:hAnsi="Arial" w:cs="Arial"/>
          <w:i/>
          <w:sz w:val="22"/>
          <w:szCs w:val="22"/>
          <w:lang w:val="en-CA"/>
        </w:rPr>
        <w:t>apportion the liability to make good the damage or loss suffered by Mr. Dewar “in</w:t>
      </w:r>
      <w:r w:rsidRPr="0019776A">
        <w:rPr>
          <w:rFonts w:ascii="Arial" w:hAnsi="Arial" w:cs="Arial"/>
          <w:i/>
          <w:color w:val="000000"/>
          <w:lang w:val="en-CA"/>
        </w:rPr>
        <w:br/>
      </w:r>
      <w:r w:rsidRPr="0019776A">
        <w:rPr>
          <w:rStyle w:val="fontstyle01"/>
          <w:rFonts w:ascii="Arial" w:hAnsi="Arial" w:cs="Arial"/>
          <w:i/>
          <w:sz w:val="22"/>
          <w:szCs w:val="22"/>
          <w:lang w:val="en-CA"/>
        </w:rPr>
        <w:t>proportion to the degree to which each person was at fault”. By s. 1(2), if it is not</w:t>
      </w:r>
      <w:r w:rsidRPr="0019776A">
        <w:rPr>
          <w:rFonts w:ascii="Arial" w:hAnsi="Arial" w:cs="Arial"/>
          <w:i/>
          <w:color w:val="000000"/>
          <w:lang w:val="en-CA"/>
        </w:rPr>
        <w:br/>
      </w:r>
      <w:r w:rsidRPr="0019776A">
        <w:rPr>
          <w:rStyle w:val="fontstyle01"/>
          <w:rFonts w:ascii="Arial" w:hAnsi="Arial" w:cs="Arial"/>
          <w:i/>
          <w:sz w:val="22"/>
          <w:szCs w:val="22"/>
          <w:lang w:val="en-CA"/>
        </w:rPr>
        <w:t>possible to establish different degrees of fault, the liability must be apportioned</w:t>
      </w:r>
      <w:r w:rsidRPr="0019776A">
        <w:rPr>
          <w:rFonts w:ascii="Arial" w:hAnsi="Arial" w:cs="Arial"/>
          <w:i/>
          <w:color w:val="000000"/>
          <w:lang w:val="en-CA"/>
        </w:rPr>
        <w:br/>
      </w:r>
      <w:r w:rsidRPr="0019776A">
        <w:rPr>
          <w:rStyle w:val="fontstyle01"/>
          <w:rFonts w:ascii="Arial" w:hAnsi="Arial" w:cs="Arial"/>
          <w:i/>
          <w:sz w:val="22"/>
          <w:szCs w:val="22"/>
          <w:lang w:val="en-CA"/>
        </w:rPr>
        <w:t>equally.</w:t>
      </w:r>
    </w:p>
    <w:p w14:paraId="6D8C4E0B" w14:textId="3257F687" w:rsidR="00470704" w:rsidRPr="0019776A" w:rsidRDefault="00E745D9" w:rsidP="00CE0879">
      <w:pPr>
        <w:tabs>
          <w:tab w:val="left" w:pos="8640"/>
        </w:tabs>
        <w:spacing w:before="120" w:line="276" w:lineRule="auto"/>
        <w:ind w:left="720" w:right="720"/>
        <w:jc w:val="both"/>
        <w:rPr>
          <w:rStyle w:val="fontstyle01"/>
          <w:rFonts w:ascii="Arial" w:hAnsi="Arial" w:cs="Arial"/>
          <w:i/>
          <w:sz w:val="22"/>
          <w:szCs w:val="22"/>
          <w:lang w:val="en-CA"/>
        </w:rPr>
      </w:pPr>
      <w:r w:rsidRPr="0019776A">
        <w:rPr>
          <w:rStyle w:val="fontstyle01"/>
          <w:rFonts w:ascii="Arial" w:hAnsi="Arial" w:cs="Arial"/>
          <w:i/>
          <w:sz w:val="22"/>
          <w:szCs w:val="22"/>
          <w:lang w:val="en-CA"/>
        </w:rPr>
        <w:t>[68] In this context, “fault” means blameworthiness, and the court must evaluate</w:t>
      </w:r>
      <w:r w:rsidRPr="0019776A">
        <w:rPr>
          <w:rFonts w:ascii="Arial" w:hAnsi="Arial" w:cs="Arial"/>
          <w:i/>
          <w:color w:val="000000"/>
          <w:lang w:val="en-CA"/>
        </w:rPr>
        <w:br/>
      </w:r>
      <w:r w:rsidRPr="0019776A">
        <w:rPr>
          <w:rStyle w:val="fontstyle01"/>
          <w:rFonts w:ascii="Arial" w:hAnsi="Arial" w:cs="Arial"/>
          <w:i/>
          <w:sz w:val="22"/>
          <w:szCs w:val="22"/>
          <w:lang w:val="en-CA"/>
        </w:rPr>
        <w:t>the extent to which each party’s conduct departed from the standard of reasonable</w:t>
      </w:r>
      <w:r w:rsidRPr="0019776A">
        <w:rPr>
          <w:rFonts w:ascii="Arial" w:hAnsi="Arial" w:cs="Arial"/>
          <w:i/>
          <w:color w:val="000000"/>
          <w:lang w:val="en-CA"/>
        </w:rPr>
        <w:br/>
      </w:r>
      <w:r w:rsidRPr="0019776A">
        <w:rPr>
          <w:rStyle w:val="fontstyle01"/>
          <w:rFonts w:ascii="Arial" w:hAnsi="Arial" w:cs="Arial"/>
          <w:i/>
          <w:sz w:val="22"/>
          <w:szCs w:val="22"/>
          <w:lang w:val="en-CA"/>
        </w:rPr>
        <w:t xml:space="preserve">care; </w:t>
      </w:r>
      <w:r w:rsidRPr="003B4C60">
        <w:rPr>
          <w:rStyle w:val="fontstyle21"/>
          <w:rFonts w:ascii="Arial" w:hAnsi="Arial" w:cs="Arial"/>
          <w:sz w:val="22"/>
          <w:szCs w:val="22"/>
          <w:lang w:val="en-CA"/>
        </w:rPr>
        <w:t>Alberta Wheat Pool v. Northwest Pile</w:t>
      </w:r>
      <w:r w:rsidRPr="003B4C60">
        <w:rPr>
          <w:rStyle w:val="fontstyle21"/>
          <w:rFonts w:ascii="Arial" w:hAnsi="Arial" w:cs="Arial"/>
          <w:i w:val="0"/>
          <w:sz w:val="22"/>
          <w:szCs w:val="22"/>
          <w:lang w:val="en-CA"/>
        </w:rPr>
        <w:t xml:space="preserve">, </w:t>
      </w:r>
      <w:r w:rsidRPr="003B4C60">
        <w:rPr>
          <w:rFonts w:ascii="Arial" w:hAnsi="Arial" w:cs="Arial"/>
          <w:i/>
          <w:lang w:val="en-CA"/>
        </w:rPr>
        <w:t>2000 BCCA 505</w:t>
      </w:r>
      <w:r w:rsidRPr="003B4C60">
        <w:rPr>
          <w:rStyle w:val="fontstyle01"/>
          <w:rFonts w:ascii="Arial" w:hAnsi="Arial" w:cs="Arial"/>
          <w:i/>
          <w:sz w:val="22"/>
          <w:szCs w:val="22"/>
          <w:lang w:val="en-CA"/>
        </w:rPr>
        <w:t xml:space="preserve"> at para. 46; </w:t>
      </w:r>
      <w:proofErr w:type="spellStart"/>
      <w:r w:rsidRPr="003B4C60">
        <w:rPr>
          <w:rStyle w:val="fontstyle21"/>
          <w:rFonts w:ascii="Arial" w:hAnsi="Arial" w:cs="Arial"/>
          <w:sz w:val="22"/>
          <w:szCs w:val="22"/>
          <w:lang w:val="en-CA"/>
        </w:rPr>
        <w:t>Randhawav</w:t>
      </w:r>
      <w:proofErr w:type="spellEnd"/>
      <w:r w:rsidRPr="003B4C60">
        <w:rPr>
          <w:rStyle w:val="fontstyle21"/>
          <w:rFonts w:ascii="Arial" w:hAnsi="Arial" w:cs="Arial"/>
          <w:sz w:val="22"/>
          <w:szCs w:val="22"/>
          <w:lang w:val="en-CA"/>
        </w:rPr>
        <w:t>. Evans,</w:t>
      </w:r>
      <w:r w:rsidRPr="003B4C60">
        <w:rPr>
          <w:rStyle w:val="fontstyle21"/>
          <w:rFonts w:ascii="Arial" w:hAnsi="Arial" w:cs="Arial"/>
          <w:i w:val="0"/>
          <w:sz w:val="22"/>
          <w:szCs w:val="22"/>
          <w:lang w:val="en-CA"/>
        </w:rPr>
        <w:t xml:space="preserve"> </w:t>
      </w:r>
      <w:r w:rsidRPr="003B4C60">
        <w:rPr>
          <w:rFonts w:ascii="Arial" w:hAnsi="Arial" w:cs="Arial"/>
          <w:i/>
          <w:lang w:val="en-CA"/>
        </w:rPr>
        <w:t>2020 BCCA 292</w:t>
      </w:r>
      <w:r w:rsidRPr="003B4C60">
        <w:rPr>
          <w:rStyle w:val="fontstyle01"/>
          <w:rFonts w:ascii="Arial" w:hAnsi="Arial" w:cs="Arial"/>
          <w:i/>
          <w:sz w:val="22"/>
          <w:szCs w:val="22"/>
          <w:lang w:val="en-CA"/>
        </w:rPr>
        <w:t xml:space="preserve"> at paras. 22–23.</w:t>
      </w:r>
    </w:p>
    <w:p w14:paraId="3A9AECD7" w14:textId="355EEEEE" w:rsidR="00921AAB" w:rsidRPr="0019776A" w:rsidRDefault="00E745D9" w:rsidP="00CE0879">
      <w:pPr>
        <w:tabs>
          <w:tab w:val="left" w:pos="8640"/>
        </w:tabs>
        <w:spacing w:before="120" w:line="276" w:lineRule="auto"/>
        <w:ind w:left="720" w:right="720"/>
        <w:jc w:val="both"/>
        <w:rPr>
          <w:rStyle w:val="fontstyle01"/>
          <w:rFonts w:ascii="Arial" w:hAnsi="Arial" w:cs="Arial"/>
          <w:i/>
          <w:sz w:val="22"/>
          <w:szCs w:val="22"/>
          <w:lang w:val="en-CA"/>
        </w:rPr>
      </w:pPr>
      <w:r w:rsidRPr="0019776A">
        <w:rPr>
          <w:rStyle w:val="fontstyle01"/>
          <w:rFonts w:ascii="Arial" w:hAnsi="Arial" w:cs="Arial"/>
          <w:i/>
          <w:sz w:val="22"/>
          <w:szCs w:val="22"/>
          <w:lang w:val="en-CA"/>
        </w:rPr>
        <w:t xml:space="preserve">[69] In </w:t>
      </w:r>
      <w:r w:rsidRPr="003B4C60">
        <w:rPr>
          <w:rStyle w:val="fontstyle21"/>
          <w:rFonts w:ascii="Arial" w:hAnsi="Arial" w:cs="Arial"/>
          <w:sz w:val="22"/>
          <w:szCs w:val="22"/>
          <w:lang w:val="en-CA"/>
        </w:rPr>
        <w:t>Aberdeen v. Langley (Township),</w:t>
      </w:r>
      <w:r w:rsidRPr="0019776A">
        <w:rPr>
          <w:rStyle w:val="fontstyle21"/>
          <w:rFonts w:ascii="Arial" w:hAnsi="Arial" w:cs="Arial"/>
          <w:i w:val="0"/>
          <w:sz w:val="22"/>
          <w:szCs w:val="22"/>
          <w:lang w:val="en-CA"/>
        </w:rPr>
        <w:t xml:space="preserve"> </w:t>
      </w:r>
      <w:r w:rsidRPr="003B4C60">
        <w:rPr>
          <w:rFonts w:ascii="Arial" w:hAnsi="Arial" w:cs="Arial"/>
          <w:i/>
          <w:lang w:val="en-CA"/>
        </w:rPr>
        <w:t>2007 BCSC 993</w:t>
      </w:r>
      <w:r w:rsidRPr="0019776A">
        <w:rPr>
          <w:rStyle w:val="fontstyle01"/>
          <w:rFonts w:ascii="Arial" w:hAnsi="Arial" w:cs="Arial"/>
          <w:i/>
          <w:sz w:val="22"/>
          <w:szCs w:val="22"/>
          <w:lang w:val="en-CA"/>
        </w:rPr>
        <w:t xml:space="preserve"> at para. 62, varied on</w:t>
      </w:r>
      <w:r w:rsidRPr="0019776A">
        <w:rPr>
          <w:rFonts w:ascii="Arial" w:hAnsi="Arial" w:cs="Arial"/>
          <w:i/>
          <w:color w:val="000000"/>
          <w:lang w:val="en-CA"/>
        </w:rPr>
        <w:br/>
      </w:r>
      <w:r w:rsidRPr="0019776A">
        <w:rPr>
          <w:rStyle w:val="fontstyle01"/>
          <w:rFonts w:ascii="Arial" w:hAnsi="Arial" w:cs="Arial"/>
          <w:i/>
          <w:sz w:val="22"/>
          <w:szCs w:val="22"/>
          <w:lang w:val="en-CA"/>
        </w:rPr>
        <w:t xml:space="preserve">other grounds </w:t>
      </w:r>
      <w:r w:rsidRPr="003B4C60">
        <w:rPr>
          <w:rFonts w:ascii="Arial" w:hAnsi="Arial" w:cs="Arial"/>
          <w:i/>
          <w:lang w:val="en-CA"/>
        </w:rPr>
        <w:t>2008 BCCA 420</w:t>
      </w:r>
      <w:r w:rsidRPr="0019776A">
        <w:rPr>
          <w:rStyle w:val="fontstyle01"/>
          <w:rFonts w:ascii="Arial" w:hAnsi="Arial" w:cs="Arial"/>
          <w:i/>
          <w:sz w:val="22"/>
          <w:szCs w:val="22"/>
          <w:lang w:val="en-CA"/>
        </w:rPr>
        <w:t>, Justice Groves summarized the factors that courts</w:t>
      </w:r>
      <w:r w:rsidRPr="0019776A">
        <w:rPr>
          <w:rFonts w:ascii="Arial" w:hAnsi="Arial" w:cs="Arial"/>
          <w:i/>
          <w:color w:val="000000"/>
          <w:lang w:val="en-CA"/>
        </w:rPr>
        <w:br/>
      </w:r>
      <w:r w:rsidRPr="0019776A">
        <w:rPr>
          <w:rStyle w:val="fontstyle01"/>
          <w:rFonts w:ascii="Arial" w:hAnsi="Arial" w:cs="Arial"/>
          <w:i/>
          <w:sz w:val="22"/>
          <w:szCs w:val="22"/>
          <w:lang w:val="en-CA"/>
        </w:rPr>
        <w:t>have taken into account in assessing moral blameworthiness and contributory</w:t>
      </w:r>
      <w:r w:rsidRPr="0019776A">
        <w:rPr>
          <w:rFonts w:ascii="Arial" w:hAnsi="Arial" w:cs="Arial"/>
          <w:i/>
          <w:color w:val="000000"/>
          <w:lang w:val="en-CA"/>
        </w:rPr>
        <w:br/>
      </w:r>
      <w:r w:rsidRPr="0019776A">
        <w:rPr>
          <w:rStyle w:val="fontstyle01"/>
          <w:rFonts w:ascii="Arial" w:hAnsi="Arial" w:cs="Arial"/>
          <w:i/>
          <w:sz w:val="22"/>
          <w:szCs w:val="22"/>
          <w:lang w:val="en-CA"/>
        </w:rPr>
        <w:t xml:space="preserve">negligence. In </w:t>
      </w:r>
      <w:r w:rsidRPr="0019776A">
        <w:rPr>
          <w:rStyle w:val="fontstyle21"/>
          <w:rFonts w:ascii="Arial" w:hAnsi="Arial" w:cs="Arial"/>
          <w:i w:val="0"/>
          <w:sz w:val="22"/>
          <w:szCs w:val="22"/>
          <w:lang w:val="en-CA"/>
        </w:rPr>
        <w:t xml:space="preserve">Howell v. Machi, </w:t>
      </w:r>
      <w:r w:rsidRPr="00EC55D0">
        <w:rPr>
          <w:rFonts w:ascii="Arial" w:hAnsi="Arial" w:cs="Arial"/>
          <w:i/>
          <w:lang w:val="en-CA"/>
        </w:rPr>
        <w:t>2017 BCSC 1806</w:t>
      </w:r>
      <w:r w:rsidRPr="0019776A">
        <w:rPr>
          <w:rStyle w:val="fontstyle01"/>
          <w:rFonts w:ascii="Arial" w:hAnsi="Arial" w:cs="Arial"/>
          <w:i/>
          <w:sz w:val="22"/>
          <w:szCs w:val="22"/>
          <w:lang w:val="en-CA"/>
        </w:rPr>
        <w:t xml:space="preserve"> at para. 117, Justice</w:t>
      </w:r>
      <w:r w:rsidRPr="0019776A">
        <w:rPr>
          <w:rFonts w:ascii="Arial" w:hAnsi="Arial" w:cs="Arial"/>
          <w:i/>
          <w:color w:val="000000"/>
          <w:lang w:val="en-CA"/>
        </w:rPr>
        <w:br/>
      </w:r>
      <w:r w:rsidRPr="0019776A">
        <w:rPr>
          <w:rStyle w:val="fontstyle01"/>
          <w:rFonts w:ascii="Arial" w:hAnsi="Arial" w:cs="Arial"/>
          <w:i/>
          <w:sz w:val="22"/>
          <w:szCs w:val="22"/>
          <w:lang w:val="en-CA"/>
        </w:rPr>
        <w:t xml:space="preserve">MacNaughton considered </w:t>
      </w:r>
      <w:r w:rsidRPr="0019776A">
        <w:rPr>
          <w:rStyle w:val="fontstyle21"/>
          <w:rFonts w:ascii="Arial" w:hAnsi="Arial" w:cs="Arial"/>
          <w:i w:val="0"/>
          <w:sz w:val="22"/>
          <w:szCs w:val="22"/>
          <w:lang w:val="en-CA"/>
        </w:rPr>
        <w:t xml:space="preserve">Aberdeen </w:t>
      </w:r>
      <w:r w:rsidRPr="0019776A">
        <w:rPr>
          <w:rStyle w:val="fontstyle01"/>
          <w:rFonts w:ascii="Arial" w:hAnsi="Arial" w:cs="Arial"/>
          <w:i/>
          <w:sz w:val="22"/>
          <w:szCs w:val="22"/>
          <w:lang w:val="en-CA"/>
        </w:rPr>
        <w:t xml:space="preserve">and other cases and refined the </w:t>
      </w:r>
      <w:r w:rsidRPr="0019776A">
        <w:rPr>
          <w:rStyle w:val="fontstyle21"/>
          <w:rFonts w:ascii="Arial" w:hAnsi="Arial" w:cs="Arial"/>
          <w:i w:val="0"/>
          <w:sz w:val="22"/>
          <w:szCs w:val="22"/>
          <w:lang w:val="en-CA"/>
        </w:rPr>
        <w:t>Aberdeen</w:t>
      </w:r>
      <w:r w:rsidRPr="0019776A">
        <w:rPr>
          <w:rFonts w:ascii="Arial" w:hAnsi="Arial" w:cs="Arial"/>
          <w:i/>
          <w:iCs/>
          <w:color w:val="000000"/>
          <w:lang w:val="en-CA"/>
        </w:rPr>
        <w:br/>
      </w:r>
      <w:r w:rsidRPr="0019776A">
        <w:rPr>
          <w:rStyle w:val="fontstyle01"/>
          <w:rFonts w:ascii="Arial" w:hAnsi="Arial" w:cs="Arial"/>
          <w:i/>
          <w:sz w:val="22"/>
          <w:szCs w:val="22"/>
          <w:lang w:val="en-CA"/>
        </w:rPr>
        <w:t>factors to the specific context of pedestrian-motor vehicle collisions. MacNaughton</w:t>
      </w:r>
      <w:r w:rsidRPr="0019776A">
        <w:rPr>
          <w:rFonts w:ascii="Arial" w:hAnsi="Arial" w:cs="Arial"/>
          <w:i/>
          <w:color w:val="000000"/>
          <w:lang w:val="en-CA"/>
        </w:rPr>
        <w:br/>
      </w:r>
      <w:r w:rsidRPr="0019776A">
        <w:rPr>
          <w:rStyle w:val="fontstyle01"/>
          <w:rFonts w:ascii="Arial" w:hAnsi="Arial" w:cs="Arial"/>
          <w:i/>
          <w:sz w:val="22"/>
          <w:szCs w:val="22"/>
          <w:lang w:val="en-CA"/>
        </w:rPr>
        <w:t>J.’s list of factors is worth quoting in its entirety:</w:t>
      </w:r>
    </w:p>
    <w:p w14:paraId="647CBCDC" w14:textId="77777777" w:rsidR="00921AAB" w:rsidRPr="0019776A" w:rsidRDefault="00E745D9" w:rsidP="00EF10C2">
      <w:pPr>
        <w:pStyle w:val="ListParagraph"/>
        <w:numPr>
          <w:ilvl w:val="1"/>
          <w:numId w:val="8"/>
        </w:numPr>
        <w:tabs>
          <w:tab w:val="left" w:pos="8640"/>
        </w:tabs>
        <w:spacing w:before="120" w:line="276" w:lineRule="auto"/>
        <w:ind w:right="720"/>
        <w:rPr>
          <w:rStyle w:val="fontstyle01"/>
          <w:rFonts w:ascii="Arial" w:hAnsi="Arial" w:cs="Arial"/>
          <w:i/>
          <w:sz w:val="22"/>
          <w:szCs w:val="22"/>
          <w:lang w:val="en-CA"/>
        </w:rPr>
      </w:pPr>
      <w:r w:rsidRPr="0019776A">
        <w:rPr>
          <w:rStyle w:val="fontstyle01"/>
          <w:rFonts w:ascii="Arial" w:hAnsi="Arial" w:cs="Arial"/>
          <w:i/>
          <w:sz w:val="22"/>
          <w:szCs w:val="22"/>
          <w:lang w:val="en-CA"/>
        </w:rPr>
        <w:t>whether the driver or pedestrian was keeping an adequate look-out for</w:t>
      </w:r>
      <w:r w:rsidR="0097320E" w:rsidRPr="0019776A">
        <w:rPr>
          <w:rFonts w:ascii="Arial" w:hAnsi="Arial" w:cs="Arial"/>
          <w:i/>
          <w:color w:val="000000"/>
          <w:lang w:val="en-CA"/>
        </w:rPr>
        <w:t xml:space="preserve"> </w:t>
      </w:r>
      <w:r w:rsidR="0097320E" w:rsidRPr="0019776A">
        <w:rPr>
          <w:rStyle w:val="fontstyle01"/>
          <w:rFonts w:ascii="Arial" w:hAnsi="Arial" w:cs="Arial"/>
          <w:i/>
          <w:sz w:val="22"/>
          <w:szCs w:val="22"/>
          <w:lang w:val="en-CA"/>
        </w:rPr>
        <w:t xml:space="preserve">cars or </w:t>
      </w:r>
      <w:r w:rsidRPr="0019776A">
        <w:rPr>
          <w:rStyle w:val="fontstyle01"/>
          <w:rFonts w:ascii="Arial" w:hAnsi="Arial" w:cs="Arial"/>
          <w:i/>
          <w:sz w:val="22"/>
          <w:szCs w:val="22"/>
          <w:lang w:val="en-CA"/>
        </w:rPr>
        <w:t>pedestrians, including jaywalking pedestrians;</w:t>
      </w:r>
    </w:p>
    <w:p w14:paraId="20662C13" w14:textId="77777777" w:rsidR="00921AAB" w:rsidRPr="0019776A" w:rsidRDefault="00E745D9" w:rsidP="00EF10C2">
      <w:pPr>
        <w:pStyle w:val="ListParagraph"/>
        <w:numPr>
          <w:ilvl w:val="1"/>
          <w:numId w:val="8"/>
        </w:numPr>
        <w:tabs>
          <w:tab w:val="left" w:pos="8640"/>
        </w:tabs>
        <w:spacing w:before="120" w:line="276" w:lineRule="auto"/>
        <w:ind w:right="720"/>
        <w:rPr>
          <w:rStyle w:val="fontstyle01"/>
          <w:rFonts w:ascii="Arial" w:hAnsi="Arial" w:cs="Arial"/>
          <w:i/>
          <w:sz w:val="22"/>
          <w:szCs w:val="22"/>
          <w:lang w:val="en-CA"/>
        </w:rPr>
      </w:pPr>
      <w:r w:rsidRPr="0019776A">
        <w:rPr>
          <w:rStyle w:val="fontstyle01"/>
          <w:rFonts w:ascii="Arial" w:hAnsi="Arial" w:cs="Arial"/>
          <w:i/>
          <w:sz w:val="22"/>
          <w:szCs w:val="22"/>
          <w:lang w:val="en-CA"/>
        </w:rPr>
        <w:t>whether the driver or pedestrian took reasonable precautions, such as</w:t>
      </w:r>
      <w:r w:rsidR="0097320E" w:rsidRPr="0019776A">
        <w:rPr>
          <w:rFonts w:ascii="Arial" w:hAnsi="Arial" w:cs="Arial"/>
          <w:i/>
          <w:color w:val="000000"/>
          <w:lang w:val="en-CA"/>
        </w:rPr>
        <w:t xml:space="preserve"> </w:t>
      </w:r>
      <w:r w:rsidRPr="0019776A">
        <w:rPr>
          <w:rStyle w:val="fontstyle01"/>
          <w:rFonts w:ascii="Arial" w:hAnsi="Arial" w:cs="Arial"/>
          <w:i/>
          <w:sz w:val="22"/>
          <w:szCs w:val="22"/>
          <w:lang w:val="en-CA"/>
        </w:rPr>
        <w:t>modifying speed in areas where pedestrians might be or looking both</w:t>
      </w:r>
      <w:r w:rsidR="0097320E" w:rsidRPr="0019776A">
        <w:rPr>
          <w:rFonts w:ascii="Arial" w:hAnsi="Arial" w:cs="Arial"/>
          <w:i/>
          <w:color w:val="000000"/>
          <w:lang w:val="en-CA"/>
        </w:rPr>
        <w:t xml:space="preserve"> </w:t>
      </w:r>
      <w:r w:rsidRPr="0019776A">
        <w:rPr>
          <w:rStyle w:val="fontstyle01"/>
          <w:rFonts w:ascii="Arial" w:hAnsi="Arial" w:cs="Arial"/>
          <w:i/>
          <w:sz w:val="22"/>
          <w:szCs w:val="22"/>
          <w:lang w:val="en-CA"/>
        </w:rPr>
        <w:t>ways before proceeding into a crosswalk;</w:t>
      </w:r>
    </w:p>
    <w:p w14:paraId="0AB59AD0" w14:textId="77777777" w:rsidR="00921AAB" w:rsidRPr="0019776A" w:rsidRDefault="00E745D9" w:rsidP="00EF10C2">
      <w:pPr>
        <w:pStyle w:val="ListParagraph"/>
        <w:numPr>
          <w:ilvl w:val="1"/>
          <w:numId w:val="8"/>
        </w:numPr>
        <w:tabs>
          <w:tab w:val="left" w:pos="8640"/>
        </w:tabs>
        <w:spacing w:before="120" w:line="276" w:lineRule="auto"/>
        <w:ind w:right="720"/>
        <w:rPr>
          <w:rStyle w:val="fontstyle01"/>
          <w:rFonts w:ascii="Arial" w:hAnsi="Arial" w:cs="Arial"/>
          <w:i/>
          <w:sz w:val="22"/>
          <w:szCs w:val="22"/>
          <w:lang w:val="en-CA"/>
        </w:rPr>
      </w:pPr>
      <w:r w:rsidRPr="0019776A">
        <w:rPr>
          <w:rStyle w:val="fontstyle01"/>
          <w:rFonts w:ascii="Arial" w:hAnsi="Arial" w:cs="Arial"/>
          <w:i/>
          <w:sz w:val="22"/>
          <w:szCs w:val="22"/>
          <w:lang w:val="en-CA"/>
        </w:rPr>
        <w:t>the speed of the driver compared to the speed limit and the</w:t>
      </w:r>
      <w:r w:rsidR="0097320E" w:rsidRPr="0019776A">
        <w:rPr>
          <w:rFonts w:ascii="Arial" w:hAnsi="Arial" w:cs="Arial"/>
          <w:i/>
          <w:color w:val="000000"/>
          <w:lang w:val="en-CA"/>
        </w:rPr>
        <w:t xml:space="preserve"> </w:t>
      </w:r>
      <w:r w:rsidRPr="0019776A">
        <w:rPr>
          <w:rStyle w:val="fontstyle01"/>
          <w:rFonts w:ascii="Arial" w:hAnsi="Arial" w:cs="Arial"/>
          <w:i/>
          <w:sz w:val="22"/>
          <w:szCs w:val="22"/>
          <w:lang w:val="en-CA"/>
        </w:rPr>
        <w:t>conditions;</w:t>
      </w:r>
    </w:p>
    <w:p w14:paraId="7400E318" w14:textId="77777777" w:rsidR="00921AAB" w:rsidRPr="0019776A" w:rsidRDefault="00E745D9" w:rsidP="00EF10C2">
      <w:pPr>
        <w:pStyle w:val="ListParagraph"/>
        <w:numPr>
          <w:ilvl w:val="1"/>
          <w:numId w:val="8"/>
        </w:numPr>
        <w:tabs>
          <w:tab w:val="left" w:pos="8640"/>
        </w:tabs>
        <w:spacing w:before="120" w:line="276" w:lineRule="auto"/>
        <w:ind w:right="720"/>
        <w:rPr>
          <w:rStyle w:val="fontstyle01"/>
          <w:rFonts w:ascii="Arial" w:hAnsi="Arial" w:cs="Arial"/>
          <w:i/>
          <w:sz w:val="22"/>
          <w:szCs w:val="22"/>
          <w:lang w:val="en-CA"/>
        </w:rPr>
      </w:pPr>
      <w:r w:rsidRPr="0019776A">
        <w:rPr>
          <w:rStyle w:val="fontstyle01"/>
          <w:rFonts w:ascii="Arial" w:hAnsi="Arial" w:cs="Arial"/>
          <w:i/>
          <w:sz w:val="22"/>
          <w:szCs w:val="22"/>
          <w:lang w:val="en-CA"/>
        </w:rPr>
        <w:t>whether the driver obeyed the rules of the road, such as signaling;</w:t>
      </w:r>
    </w:p>
    <w:p w14:paraId="6114FF23" w14:textId="77777777" w:rsidR="00921AAB" w:rsidRPr="0019776A" w:rsidRDefault="00E745D9" w:rsidP="00EF10C2">
      <w:pPr>
        <w:pStyle w:val="ListParagraph"/>
        <w:numPr>
          <w:ilvl w:val="1"/>
          <w:numId w:val="8"/>
        </w:numPr>
        <w:tabs>
          <w:tab w:val="left" w:pos="8640"/>
        </w:tabs>
        <w:spacing w:before="120" w:line="276" w:lineRule="auto"/>
        <w:ind w:right="720"/>
        <w:rPr>
          <w:rStyle w:val="fontstyle01"/>
          <w:rFonts w:ascii="Arial" w:hAnsi="Arial" w:cs="Arial"/>
          <w:i/>
          <w:sz w:val="22"/>
          <w:szCs w:val="22"/>
          <w:lang w:val="en-CA"/>
        </w:rPr>
      </w:pPr>
      <w:r w:rsidRPr="0019776A">
        <w:rPr>
          <w:rStyle w:val="fontstyle01"/>
          <w:rFonts w:ascii="Arial" w:hAnsi="Arial" w:cs="Arial"/>
          <w:i/>
          <w:sz w:val="22"/>
          <w:szCs w:val="22"/>
          <w:lang w:val="en-CA"/>
        </w:rPr>
        <w:t>whether the pedestrian or car was ‘there to be seen’ including an</w:t>
      </w:r>
      <w:r w:rsidR="0097320E" w:rsidRPr="0019776A">
        <w:rPr>
          <w:rFonts w:ascii="Arial" w:hAnsi="Arial" w:cs="Arial"/>
          <w:i/>
          <w:color w:val="000000"/>
          <w:lang w:val="en-CA"/>
        </w:rPr>
        <w:t xml:space="preserve"> </w:t>
      </w:r>
      <w:r w:rsidRPr="0019776A">
        <w:rPr>
          <w:rStyle w:val="fontstyle01"/>
          <w:rFonts w:ascii="Arial" w:hAnsi="Arial" w:cs="Arial"/>
          <w:i/>
          <w:sz w:val="22"/>
          <w:szCs w:val="22"/>
          <w:lang w:val="en-CA"/>
        </w:rPr>
        <w:t>assessment of the weather, time of day, state of traffic, use of</w:t>
      </w:r>
      <w:r w:rsidR="0097320E" w:rsidRPr="0019776A">
        <w:rPr>
          <w:rFonts w:ascii="Arial" w:hAnsi="Arial" w:cs="Arial"/>
          <w:i/>
          <w:color w:val="000000"/>
          <w:lang w:val="en-CA"/>
        </w:rPr>
        <w:t xml:space="preserve"> </w:t>
      </w:r>
      <w:r w:rsidRPr="0019776A">
        <w:rPr>
          <w:rStyle w:val="fontstyle01"/>
          <w:rFonts w:ascii="Arial" w:hAnsi="Arial" w:cs="Arial"/>
          <w:i/>
          <w:sz w:val="22"/>
          <w:szCs w:val="22"/>
          <w:lang w:val="en-CA"/>
        </w:rPr>
        <w:t>headlights, light or dark clothing for pedestrians, and other visibility</w:t>
      </w:r>
      <w:r w:rsidR="0097320E" w:rsidRPr="0019776A">
        <w:rPr>
          <w:rFonts w:ascii="Arial" w:hAnsi="Arial" w:cs="Arial"/>
          <w:i/>
          <w:color w:val="000000"/>
          <w:lang w:val="en-CA"/>
        </w:rPr>
        <w:t xml:space="preserve"> </w:t>
      </w:r>
      <w:r w:rsidRPr="0019776A">
        <w:rPr>
          <w:rStyle w:val="fontstyle01"/>
          <w:rFonts w:ascii="Arial" w:hAnsi="Arial" w:cs="Arial"/>
          <w:i/>
          <w:sz w:val="22"/>
          <w:szCs w:val="22"/>
          <w:lang w:val="en-CA"/>
        </w:rPr>
        <w:t>factors;</w:t>
      </w:r>
    </w:p>
    <w:p w14:paraId="7D8CBF72" w14:textId="77777777" w:rsidR="00921AAB" w:rsidRPr="0019776A" w:rsidRDefault="00E745D9" w:rsidP="00EF10C2">
      <w:pPr>
        <w:pStyle w:val="ListParagraph"/>
        <w:numPr>
          <w:ilvl w:val="1"/>
          <w:numId w:val="8"/>
        </w:numPr>
        <w:tabs>
          <w:tab w:val="left" w:pos="8640"/>
        </w:tabs>
        <w:spacing w:before="120" w:line="276" w:lineRule="auto"/>
        <w:ind w:right="720"/>
        <w:rPr>
          <w:rStyle w:val="fontstyle01"/>
          <w:rFonts w:ascii="Arial" w:hAnsi="Arial" w:cs="Arial"/>
          <w:i/>
          <w:sz w:val="22"/>
          <w:szCs w:val="22"/>
          <w:lang w:val="en-CA"/>
        </w:rPr>
      </w:pPr>
      <w:r w:rsidRPr="0019776A">
        <w:rPr>
          <w:rStyle w:val="fontstyle01"/>
          <w:rFonts w:ascii="Arial" w:hAnsi="Arial" w:cs="Arial"/>
          <w:i/>
          <w:sz w:val="22"/>
          <w:szCs w:val="22"/>
          <w:lang w:val="en-CA"/>
        </w:rPr>
        <w:t>the nature of the area where the accident occurred, such as whether it</w:t>
      </w:r>
      <w:r w:rsidR="0097320E" w:rsidRPr="0019776A">
        <w:rPr>
          <w:rFonts w:ascii="Arial" w:hAnsi="Arial" w:cs="Arial"/>
          <w:i/>
          <w:color w:val="000000"/>
          <w:lang w:val="en-CA"/>
        </w:rPr>
        <w:t xml:space="preserve"> </w:t>
      </w:r>
      <w:r w:rsidRPr="0019776A">
        <w:rPr>
          <w:rStyle w:val="fontstyle01"/>
          <w:rFonts w:ascii="Arial" w:hAnsi="Arial" w:cs="Arial"/>
          <w:i/>
          <w:sz w:val="22"/>
          <w:szCs w:val="22"/>
          <w:lang w:val="en-CA"/>
        </w:rPr>
        <w:t>is a busy street or whether there are frequent jaywalkers;</w:t>
      </w:r>
    </w:p>
    <w:p w14:paraId="1B998189" w14:textId="77777777" w:rsidR="00921AAB" w:rsidRPr="0019776A" w:rsidRDefault="00E745D9" w:rsidP="00EF10C2">
      <w:pPr>
        <w:pStyle w:val="ListParagraph"/>
        <w:numPr>
          <w:ilvl w:val="1"/>
          <w:numId w:val="8"/>
        </w:numPr>
        <w:tabs>
          <w:tab w:val="left" w:pos="8640"/>
        </w:tabs>
        <w:spacing w:before="120" w:line="276" w:lineRule="auto"/>
        <w:ind w:right="720"/>
        <w:rPr>
          <w:rStyle w:val="fontstyle01"/>
          <w:rFonts w:ascii="Arial" w:hAnsi="Arial" w:cs="Arial"/>
          <w:i/>
          <w:sz w:val="22"/>
          <w:szCs w:val="22"/>
          <w:lang w:val="en-CA"/>
        </w:rPr>
      </w:pPr>
      <w:r w:rsidRPr="0019776A">
        <w:rPr>
          <w:rStyle w:val="fontstyle01"/>
          <w:rFonts w:ascii="Arial" w:hAnsi="Arial" w:cs="Arial"/>
          <w:i/>
          <w:sz w:val="22"/>
          <w:szCs w:val="22"/>
          <w:lang w:val="en-CA"/>
        </w:rPr>
        <w:t>the presence of nearby crosswalks;</w:t>
      </w:r>
    </w:p>
    <w:p w14:paraId="6B0B27D4" w14:textId="77777777" w:rsidR="00921AAB" w:rsidRPr="0019776A" w:rsidRDefault="00E745D9" w:rsidP="00EF10C2">
      <w:pPr>
        <w:pStyle w:val="ListParagraph"/>
        <w:numPr>
          <w:ilvl w:val="1"/>
          <w:numId w:val="8"/>
        </w:numPr>
        <w:tabs>
          <w:tab w:val="left" w:pos="8640"/>
        </w:tabs>
        <w:spacing w:before="120" w:line="276" w:lineRule="auto"/>
        <w:ind w:right="720"/>
        <w:rPr>
          <w:rStyle w:val="fontstyle01"/>
          <w:rFonts w:ascii="Arial" w:hAnsi="Arial" w:cs="Arial"/>
          <w:i/>
          <w:color w:val="auto"/>
          <w:sz w:val="22"/>
          <w:szCs w:val="22"/>
          <w:lang w:val="en-CA"/>
        </w:rPr>
      </w:pPr>
      <w:r w:rsidRPr="0019776A">
        <w:rPr>
          <w:rStyle w:val="fontstyle01"/>
          <w:rFonts w:ascii="Arial" w:hAnsi="Arial" w:cs="Arial"/>
          <w:i/>
          <w:sz w:val="22"/>
          <w:szCs w:val="22"/>
          <w:lang w:val="en-CA"/>
        </w:rPr>
        <w:t>where the pedestrian crosses, mid-block or nearer to an intersection</w:t>
      </w:r>
      <w:r w:rsidR="0097320E" w:rsidRPr="0019776A">
        <w:rPr>
          <w:rFonts w:ascii="Arial" w:hAnsi="Arial" w:cs="Arial"/>
          <w:i/>
          <w:color w:val="000000"/>
          <w:lang w:val="en-CA"/>
        </w:rPr>
        <w:t xml:space="preserve"> </w:t>
      </w:r>
      <w:r w:rsidRPr="0019776A">
        <w:rPr>
          <w:rStyle w:val="fontstyle01"/>
          <w:rFonts w:ascii="Arial" w:hAnsi="Arial" w:cs="Arial"/>
          <w:i/>
          <w:sz w:val="22"/>
          <w:szCs w:val="22"/>
          <w:lang w:val="en-CA"/>
        </w:rPr>
        <w:t>where any reasonable adult might be expected to attempt to cross;</w:t>
      </w:r>
    </w:p>
    <w:p w14:paraId="2603DFA9" w14:textId="77777777" w:rsidR="00921AAB" w:rsidRPr="0019776A" w:rsidRDefault="00E745D9" w:rsidP="00EF10C2">
      <w:pPr>
        <w:pStyle w:val="ListParagraph"/>
        <w:numPr>
          <w:ilvl w:val="1"/>
          <w:numId w:val="8"/>
        </w:numPr>
        <w:tabs>
          <w:tab w:val="left" w:pos="8640"/>
        </w:tabs>
        <w:spacing w:before="120" w:line="276" w:lineRule="auto"/>
        <w:ind w:right="720"/>
        <w:rPr>
          <w:rFonts w:ascii="Arial" w:hAnsi="Arial" w:cs="Arial"/>
          <w:i/>
          <w:color w:val="000000"/>
          <w:lang w:val="en-CA"/>
        </w:rPr>
      </w:pPr>
      <w:r w:rsidRPr="0019776A">
        <w:rPr>
          <w:rFonts w:ascii="Arial" w:hAnsi="Arial" w:cs="Arial"/>
          <w:i/>
          <w:color w:val="000000"/>
          <w:lang w:val="en-CA"/>
        </w:rPr>
        <w:t>whether the pedestrian was wearing headphones; and</w:t>
      </w:r>
    </w:p>
    <w:p w14:paraId="7DA822BE" w14:textId="77777777" w:rsidR="00921AAB" w:rsidRPr="0019776A" w:rsidRDefault="00E745D9" w:rsidP="00EF10C2">
      <w:pPr>
        <w:pStyle w:val="ListParagraph"/>
        <w:numPr>
          <w:ilvl w:val="1"/>
          <w:numId w:val="8"/>
        </w:numPr>
        <w:tabs>
          <w:tab w:val="left" w:pos="8640"/>
        </w:tabs>
        <w:spacing w:before="120" w:line="276" w:lineRule="auto"/>
        <w:ind w:right="720"/>
        <w:rPr>
          <w:rFonts w:ascii="Arial" w:hAnsi="Arial" w:cs="Arial"/>
          <w:i/>
          <w:color w:val="000000"/>
          <w:lang w:val="en-CA"/>
        </w:rPr>
      </w:pPr>
      <w:r w:rsidRPr="0019776A">
        <w:rPr>
          <w:rFonts w:ascii="Arial" w:hAnsi="Arial" w:cs="Arial"/>
          <w:i/>
          <w:color w:val="000000"/>
          <w:lang w:val="en-CA"/>
        </w:rPr>
        <w:t>generally, what could reasonably be foreseen by e</w:t>
      </w:r>
      <w:r w:rsidR="0097320E" w:rsidRPr="0019776A">
        <w:rPr>
          <w:rFonts w:ascii="Arial" w:hAnsi="Arial" w:cs="Arial"/>
          <w:i/>
          <w:color w:val="000000"/>
          <w:lang w:val="en-CA"/>
        </w:rPr>
        <w:t xml:space="preserve">ither the driver or </w:t>
      </w:r>
      <w:r w:rsidR="00921AAB" w:rsidRPr="0019776A">
        <w:rPr>
          <w:rFonts w:ascii="Arial" w:hAnsi="Arial" w:cs="Arial"/>
          <w:i/>
          <w:color w:val="000000"/>
          <w:lang w:val="en-CA"/>
        </w:rPr>
        <w:t>pedestrian.</w:t>
      </w:r>
    </w:p>
    <w:p w14:paraId="3649D6C0" w14:textId="5B9448E1" w:rsidR="00921AAB" w:rsidRPr="0019776A" w:rsidRDefault="00E745D9" w:rsidP="00CE0879">
      <w:pPr>
        <w:tabs>
          <w:tab w:val="left" w:pos="8640"/>
        </w:tabs>
        <w:spacing w:before="120" w:line="276" w:lineRule="auto"/>
        <w:ind w:left="720" w:right="720"/>
        <w:jc w:val="both"/>
        <w:rPr>
          <w:rFonts w:ascii="Arial" w:hAnsi="Arial" w:cs="Arial"/>
          <w:i/>
          <w:color w:val="000000"/>
          <w:lang w:val="en-CA"/>
        </w:rPr>
      </w:pPr>
      <w:r w:rsidRPr="0019776A">
        <w:rPr>
          <w:rFonts w:ascii="Arial" w:hAnsi="Arial" w:cs="Arial"/>
          <w:i/>
          <w:color w:val="000000"/>
          <w:lang w:val="en-CA"/>
        </w:rPr>
        <w:t>[70] Considerations from this list that favour a finding of greater blameworthiness</w:t>
      </w:r>
      <w:r w:rsidRPr="0019776A">
        <w:rPr>
          <w:rFonts w:ascii="Arial" w:hAnsi="Arial" w:cs="Arial"/>
          <w:i/>
          <w:color w:val="000000"/>
          <w:lang w:val="en-CA"/>
        </w:rPr>
        <w:br/>
        <w:t xml:space="preserve">on the part of Ms. Finnigan </w:t>
      </w:r>
      <w:proofErr w:type="gramStart"/>
      <w:r w:rsidRPr="0019776A">
        <w:rPr>
          <w:rFonts w:ascii="Arial" w:hAnsi="Arial" w:cs="Arial"/>
          <w:i/>
          <w:color w:val="000000"/>
          <w:lang w:val="en-CA"/>
        </w:rPr>
        <w:t>are:</w:t>
      </w:r>
      <w:proofErr w:type="gramEnd"/>
      <w:r w:rsidRPr="0019776A">
        <w:rPr>
          <w:rFonts w:ascii="Arial" w:hAnsi="Arial" w:cs="Arial"/>
          <w:i/>
          <w:color w:val="000000"/>
          <w:lang w:val="en-CA"/>
        </w:rPr>
        <w:t xml:space="preserve"> her failure to keep a proper lookout; her excessive</w:t>
      </w:r>
      <w:r w:rsidRPr="0019776A">
        <w:rPr>
          <w:rFonts w:ascii="Arial" w:hAnsi="Arial" w:cs="Arial"/>
          <w:i/>
          <w:color w:val="000000"/>
          <w:lang w:val="en-CA"/>
        </w:rPr>
        <w:br/>
        <w:t>speed on a residential street with a 30 kph limit; and her breach of the rules of the</w:t>
      </w:r>
      <w:r w:rsidRPr="0019776A">
        <w:rPr>
          <w:rFonts w:ascii="Arial" w:hAnsi="Arial" w:cs="Arial"/>
          <w:i/>
          <w:color w:val="000000"/>
          <w:lang w:val="en-CA"/>
        </w:rPr>
        <w:br/>
        <w:t>road by driving on the wrong side. Considerations that favour a finding of greater</w:t>
      </w:r>
      <w:r w:rsidRPr="0019776A">
        <w:rPr>
          <w:rFonts w:ascii="Arial" w:hAnsi="Arial" w:cs="Arial"/>
          <w:i/>
          <w:color w:val="000000"/>
          <w:lang w:val="en-CA"/>
        </w:rPr>
        <w:br/>
        <w:t xml:space="preserve">blameworthiness on the part of Mr. Dewar </w:t>
      </w:r>
      <w:proofErr w:type="gramStart"/>
      <w:r w:rsidRPr="0019776A">
        <w:rPr>
          <w:rFonts w:ascii="Arial" w:hAnsi="Arial" w:cs="Arial"/>
          <w:i/>
          <w:color w:val="000000"/>
          <w:lang w:val="en-CA"/>
        </w:rPr>
        <w:t>are:</w:t>
      </w:r>
      <w:proofErr w:type="gramEnd"/>
      <w:r w:rsidRPr="0019776A">
        <w:rPr>
          <w:rFonts w:ascii="Arial" w:hAnsi="Arial" w:cs="Arial"/>
          <w:i/>
          <w:color w:val="000000"/>
          <w:lang w:val="en-CA"/>
        </w:rPr>
        <w:t xml:space="preserve"> his dark clothing, making it more</w:t>
      </w:r>
      <w:r w:rsidRPr="0019776A">
        <w:rPr>
          <w:rFonts w:ascii="Arial" w:hAnsi="Arial" w:cs="Arial"/>
          <w:i/>
          <w:color w:val="000000"/>
          <w:lang w:val="en-CA"/>
        </w:rPr>
        <w:br/>
        <w:t xml:space="preserve">difficult for him to be seen (specifically noted in </w:t>
      </w:r>
      <w:r w:rsidRPr="0019776A">
        <w:rPr>
          <w:rFonts w:ascii="Arial" w:hAnsi="Arial" w:cs="Arial"/>
          <w:i/>
          <w:iCs/>
          <w:color w:val="000000"/>
          <w:lang w:val="en-CA"/>
        </w:rPr>
        <w:t xml:space="preserve">Howell </w:t>
      </w:r>
      <w:r w:rsidRPr="0019776A">
        <w:rPr>
          <w:rFonts w:ascii="Arial" w:hAnsi="Arial" w:cs="Arial"/>
          <w:i/>
          <w:color w:val="000000"/>
          <w:lang w:val="en-CA"/>
        </w:rPr>
        <w:t>at para. 141); that he was not</w:t>
      </w:r>
      <w:r w:rsidR="00336396">
        <w:rPr>
          <w:rFonts w:ascii="Arial" w:hAnsi="Arial" w:cs="Arial"/>
          <w:i/>
          <w:color w:val="000000"/>
          <w:lang w:val="en-CA"/>
        </w:rPr>
        <w:t xml:space="preserve"> </w:t>
      </w:r>
      <w:r w:rsidRPr="0019776A">
        <w:rPr>
          <w:rFonts w:ascii="Arial" w:hAnsi="Arial" w:cs="Arial"/>
          <w:i/>
          <w:color w:val="000000"/>
          <w:lang w:val="en-CA"/>
        </w:rPr>
        <w:t>in a crosswalk or at an intersection; and that he was aware that Ms. Finnigan was</w:t>
      </w:r>
      <w:r w:rsidR="00336396">
        <w:rPr>
          <w:rFonts w:ascii="Arial" w:hAnsi="Arial" w:cs="Arial"/>
          <w:i/>
          <w:color w:val="000000"/>
          <w:lang w:val="en-CA"/>
        </w:rPr>
        <w:t xml:space="preserve"> </w:t>
      </w:r>
      <w:r w:rsidRPr="0019776A">
        <w:rPr>
          <w:rFonts w:ascii="Arial" w:hAnsi="Arial" w:cs="Arial"/>
          <w:i/>
          <w:color w:val="000000"/>
          <w:lang w:val="en-CA"/>
        </w:rPr>
        <w:t>approaching and was in a better position to foresee what was about to occur.</w:t>
      </w:r>
    </w:p>
    <w:p w14:paraId="49C043D0" w14:textId="77777777" w:rsidR="00B64867" w:rsidRPr="0019776A" w:rsidRDefault="00E745D9" w:rsidP="00CE0879">
      <w:pPr>
        <w:tabs>
          <w:tab w:val="left" w:pos="8640"/>
        </w:tabs>
        <w:spacing w:before="120" w:line="276" w:lineRule="auto"/>
        <w:ind w:left="720" w:right="720"/>
        <w:jc w:val="both"/>
        <w:rPr>
          <w:rFonts w:ascii="Arial" w:hAnsi="Arial" w:cs="Arial"/>
          <w:i/>
          <w:lang w:val="en-CA"/>
        </w:rPr>
      </w:pPr>
      <w:r w:rsidRPr="0019776A">
        <w:rPr>
          <w:rFonts w:ascii="Arial" w:hAnsi="Arial" w:cs="Arial"/>
          <w:i/>
          <w:color w:val="000000"/>
          <w:lang w:val="en-CA"/>
        </w:rPr>
        <w:t>[71] In my view, Ms. Finnigan is more to blame for the collision, because she</w:t>
      </w:r>
      <w:r w:rsidRPr="0019776A">
        <w:rPr>
          <w:rFonts w:ascii="Arial" w:hAnsi="Arial" w:cs="Arial"/>
          <w:i/>
          <w:color w:val="000000"/>
          <w:lang w:val="en-CA"/>
        </w:rPr>
        <w:br/>
        <w:t>breached multiple rules of the road, while Mr. Dewar was simply careless in a snap</w:t>
      </w:r>
      <w:r w:rsidRPr="0019776A">
        <w:rPr>
          <w:rFonts w:ascii="Arial" w:hAnsi="Arial" w:cs="Arial"/>
          <w:i/>
          <w:color w:val="000000"/>
          <w:lang w:val="en-CA"/>
        </w:rPr>
        <w:br/>
        <w:t>judgment. However, Mr. Dewar’s contributory negligence is more than simply</w:t>
      </w:r>
      <w:r w:rsidRPr="0019776A">
        <w:rPr>
          <w:rFonts w:ascii="Arial" w:hAnsi="Arial" w:cs="Arial"/>
          <w:i/>
          <w:color w:val="000000"/>
          <w:lang w:val="en-CA"/>
        </w:rPr>
        <w:br/>
        <w:t>nominal because it was to some degree advertent. Balancing these considerations</w:t>
      </w:r>
      <w:r w:rsidRPr="0019776A">
        <w:rPr>
          <w:rFonts w:ascii="Arial" w:hAnsi="Arial" w:cs="Arial"/>
          <w:i/>
          <w:color w:val="000000"/>
          <w:lang w:val="en-CA"/>
        </w:rPr>
        <w:br/>
        <w:t>and taking everything into account as best I can, I apportion liability for the accident</w:t>
      </w:r>
      <w:r w:rsidRPr="0019776A">
        <w:rPr>
          <w:rFonts w:ascii="Arial" w:hAnsi="Arial" w:cs="Arial"/>
          <w:i/>
          <w:color w:val="000000"/>
          <w:lang w:val="en-CA"/>
        </w:rPr>
        <w:br/>
        <w:t>65% to Ms. Finnigan and 35% to Mr. Dewar.</w:t>
      </w:r>
    </w:p>
    <w:p w14:paraId="6FF66803" w14:textId="77777777" w:rsidR="009324D8" w:rsidRPr="0019776A" w:rsidRDefault="009324D8" w:rsidP="009311AE">
      <w:pPr>
        <w:pStyle w:val="ListParagraph"/>
        <w:spacing w:line="276" w:lineRule="auto"/>
        <w:ind w:left="360"/>
        <w:jc w:val="both"/>
        <w:rPr>
          <w:rFonts w:ascii="Arial" w:hAnsi="Arial" w:cs="Arial"/>
          <w:b/>
          <w:sz w:val="24"/>
          <w:szCs w:val="24"/>
          <w:u w:val="single"/>
          <w:lang w:val="en-CA"/>
        </w:rPr>
      </w:pPr>
    </w:p>
    <w:p w14:paraId="5B01390B" w14:textId="02AED67F" w:rsidR="009311AE" w:rsidRPr="0019776A" w:rsidRDefault="009311AE" w:rsidP="005F0942">
      <w:pPr>
        <w:pStyle w:val="ListParagraph"/>
        <w:keepNext/>
        <w:keepLines/>
        <w:spacing w:line="276" w:lineRule="auto"/>
        <w:ind w:left="0"/>
        <w:jc w:val="both"/>
        <w:rPr>
          <w:rFonts w:ascii="Arial" w:hAnsi="Arial" w:cs="Arial"/>
          <w:b/>
          <w:sz w:val="24"/>
          <w:szCs w:val="24"/>
          <w:u w:val="single"/>
          <w:lang w:val="en-CA"/>
        </w:rPr>
      </w:pPr>
      <w:r w:rsidRPr="0019776A">
        <w:rPr>
          <w:rFonts w:ascii="Arial" w:hAnsi="Arial" w:cs="Arial"/>
          <w:b/>
          <w:sz w:val="24"/>
          <w:szCs w:val="24"/>
          <w:u w:val="single"/>
          <w:lang w:val="en-CA"/>
        </w:rPr>
        <w:t>Le</w:t>
      </w:r>
      <w:r w:rsidR="00DB7C66">
        <w:rPr>
          <w:rFonts w:ascii="Arial" w:hAnsi="Arial" w:cs="Arial"/>
          <w:b/>
          <w:sz w:val="24"/>
          <w:szCs w:val="24"/>
          <w:u w:val="single"/>
          <w:lang w:val="en-CA"/>
        </w:rPr>
        <w:t>ft turn intersection collisions</w:t>
      </w:r>
      <w:r w:rsidRPr="0019776A">
        <w:rPr>
          <w:rFonts w:ascii="Arial" w:hAnsi="Arial" w:cs="Arial"/>
          <w:b/>
          <w:sz w:val="24"/>
          <w:szCs w:val="24"/>
          <w:u w:val="single"/>
          <w:lang w:val="en-CA"/>
        </w:rPr>
        <w:t xml:space="preserve">: </w:t>
      </w:r>
    </w:p>
    <w:p w14:paraId="58F641DF" w14:textId="622D1DE3" w:rsidR="009324D8" w:rsidRDefault="009324D8" w:rsidP="009311AE">
      <w:pPr>
        <w:pStyle w:val="ListParagraph"/>
        <w:spacing w:line="276" w:lineRule="auto"/>
        <w:ind w:left="360"/>
        <w:jc w:val="both"/>
        <w:rPr>
          <w:rFonts w:ascii="Arial" w:hAnsi="Arial" w:cs="Arial"/>
          <w:b/>
          <w:sz w:val="24"/>
          <w:szCs w:val="24"/>
          <w:u w:val="single"/>
          <w:lang w:val="en-CA"/>
        </w:rPr>
      </w:pPr>
    </w:p>
    <w:p w14:paraId="41EC818D" w14:textId="0311DEE7" w:rsidR="00C50ACD" w:rsidRPr="00C50ACD" w:rsidRDefault="00C50ACD" w:rsidP="00EF10C2">
      <w:pPr>
        <w:pStyle w:val="ListParagraph"/>
        <w:numPr>
          <w:ilvl w:val="0"/>
          <w:numId w:val="8"/>
        </w:numPr>
        <w:spacing w:line="276" w:lineRule="auto"/>
        <w:ind w:left="360"/>
        <w:jc w:val="both"/>
        <w:rPr>
          <w:rFonts w:ascii="Arial" w:hAnsi="Arial" w:cs="Arial"/>
          <w:sz w:val="28"/>
          <w:szCs w:val="24"/>
          <w:lang w:val="en-CA"/>
        </w:rPr>
      </w:pPr>
      <w:r>
        <w:rPr>
          <w:rFonts w:ascii="Arial" w:hAnsi="Arial" w:cs="Arial"/>
          <w:sz w:val="24"/>
          <w:lang w:val="en-CA"/>
        </w:rPr>
        <w:t xml:space="preserve">The statutory duty that is imposed on drivers when completing a left turn is listed under s.174 of the </w:t>
      </w:r>
      <w:r>
        <w:rPr>
          <w:rFonts w:ascii="Arial" w:hAnsi="Arial" w:cs="Arial"/>
          <w:i/>
          <w:sz w:val="24"/>
          <w:lang w:val="en-CA"/>
        </w:rPr>
        <w:t xml:space="preserve">Motor Vehicle Act, </w:t>
      </w:r>
      <w:r>
        <w:rPr>
          <w:rFonts w:ascii="Arial" w:hAnsi="Arial" w:cs="Arial"/>
          <w:sz w:val="24"/>
          <w:lang w:val="en-CA"/>
        </w:rPr>
        <w:t>which states:</w:t>
      </w:r>
    </w:p>
    <w:p w14:paraId="282B6966" w14:textId="77777777" w:rsidR="00C50ACD" w:rsidRDefault="00C50ACD" w:rsidP="00C50ACD">
      <w:pPr>
        <w:spacing w:line="276" w:lineRule="auto"/>
        <w:ind w:left="720" w:right="720"/>
        <w:jc w:val="both"/>
        <w:rPr>
          <w:rFonts w:ascii="Arial" w:hAnsi="Arial" w:cs="Arial"/>
          <w:b/>
          <w:i/>
          <w:szCs w:val="24"/>
          <w:lang w:val="en-CA"/>
        </w:rPr>
      </w:pPr>
    </w:p>
    <w:p w14:paraId="4FBEA8D9" w14:textId="4A227D3D" w:rsidR="00C50ACD" w:rsidRPr="00C50ACD" w:rsidRDefault="00C50ACD" w:rsidP="00C50ACD">
      <w:pPr>
        <w:spacing w:line="276" w:lineRule="auto"/>
        <w:ind w:left="720" w:right="720"/>
        <w:jc w:val="both"/>
        <w:rPr>
          <w:rFonts w:ascii="Arial" w:hAnsi="Arial" w:cs="Arial"/>
          <w:b/>
          <w:i/>
          <w:szCs w:val="24"/>
          <w:lang w:val="en-CA"/>
        </w:rPr>
      </w:pPr>
      <w:r w:rsidRPr="00C50ACD">
        <w:rPr>
          <w:rFonts w:ascii="Arial" w:hAnsi="Arial" w:cs="Arial"/>
          <w:b/>
          <w:i/>
          <w:szCs w:val="24"/>
          <w:lang w:val="en-CA"/>
        </w:rPr>
        <w:t>Yielding right of way on left turn</w:t>
      </w:r>
    </w:p>
    <w:p w14:paraId="5FA0FB37" w14:textId="6F10A51A" w:rsidR="00C50ACD" w:rsidRDefault="00C50ACD" w:rsidP="00C50ACD">
      <w:pPr>
        <w:spacing w:line="276" w:lineRule="auto"/>
        <w:ind w:left="720" w:right="720"/>
        <w:jc w:val="both"/>
        <w:rPr>
          <w:rFonts w:ascii="Arial" w:hAnsi="Arial" w:cs="Arial"/>
          <w:sz w:val="28"/>
          <w:szCs w:val="24"/>
          <w:lang w:val="en-CA"/>
        </w:rPr>
      </w:pPr>
      <w:r w:rsidRPr="00C50ACD">
        <w:rPr>
          <w:rFonts w:ascii="Arial" w:hAnsi="Arial" w:cs="Arial"/>
          <w:b/>
          <w:i/>
          <w:szCs w:val="24"/>
          <w:lang w:val="en-CA"/>
        </w:rPr>
        <w:t xml:space="preserve">174 </w:t>
      </w:r>
      <w:r w:rsidRPr="00C50ACD">
        <w:rPr>
          <w:rFonts w:ascii="Arial" w:hAnsi="Arial" w:cs="Arial"/>
          <w:i/>
          <w:szCs w:val="24"/>
          <w:lang w:val="en-CA"/>
        </w:rPr>
        <w:t xml:space="preserve"> When a vehicle is in an intersection and its driver intends to turn left, the driver must yield the right of way to traffic approaching from the opposite direction that is in the intersection or so close as to constitute an immediate hazard, but having yielded and given a signal as required by sections 171 and 172, the driver may turn the vehicle to the left, and traffic approa</w:t>
      </w:r>
      <w:r>
        <w:rPr>
          <w:rFonts w:ascii="Arial" w:hAnsi="Arial" w:cs="Arial"/>
          <w:i/>
          <w:szCs w:val="24"/>
          <w:lang w:val="en-CA"/>
        </w:rPr>
        <w:t>ching the intersection from the</w:t>
      </w:r>
      <w:r>
        <w:rPr>
          <w:rFonts w:ascii="Arial" w:hAnsi="Arial" w:cs="Arial"/>
          <w:i/>
          <w:szCs w:val="24"/>
          <w:lang w:val="en-CA"/>
        </w:rPr>
        <w:br/>
      </w:r>
      <w:r w:rsidRPr="00C50ACD">
        <w:rPr>
          <w:rFonts w:ascii="Arial" w:hAnsi="Arial" w:cs="Arial"/>
          <w:i/>
          <w:szCs w:val="24"/>
          <w:lang w:val="en-CA"/>
        </w:rPr>
        <w:t>opposite direction must yield the right of way to the vehicle making the left turn</w:t>
      </w:r>
      <w:r w:rsidRPr="00C50ACD">
        <w:rPr>
          <w:rFonts w:ascii="Arial" w:hAnsi="Arial" w:cs="Arial"/>
          <w:sz w:val="28"/>
          <w:szCs w:val="24"/>
          <w:lang w:val="en-CA"/>
        </w:rPr>
        <w:t>.</w:t>
      </w:r>
    </w:p>
    <w:p w14:paraId="6C9ACD81" w14:textId="52B009FA" w:rsidR="0018626E" w:rsidRDefault="0018626E" w:rsidP="00EC55D0">
      <w:pPr>
        <w:spacing w:line="276" w:lineRule="auto"/>
        <w:ind w:right="720"/>
        <w:jc w:val="both"/>
        <w:rPr>
          <w:rFonts w:ascii="Arial" w:hAnsi="Arial" w:cs="Arial"/>
          <w:sz w:val="24"/>
          <w:szCs w:val="24"/>
          <w:lang w:val="en-CA"/>
        </w:rPr>
      </w:pPr>
    </w:p>
    <w:p w14:paraId="467BA52B" w14:textId="4627D55A" w:rsidR="00EC55D0" w:rsidRPr="00C90492" w:rsidRDefault="00EC55D0" w:rsidP="0055073C">
      <w:pPr>
        <w:spacing w:line="276" w:lineRule="auto"/>
        <w:ind w:right="720" w:firstLine="360"/>
        <w:jc w:val="both"/>
        <w:rPr>
          <w:rFonts w:ascii="Arial" w:hAnsi="Arial" w:cs="Arial"/>
          <w:bCs/>
          <w:sz w:val="24"/>
          <w:szCs w:val="24"/>
          <w:lang w:val="en-CA"/>
        </w:rPr>
      </w:pPr>
      <w:r w:rsidRPr="00C90492">
        <w:rPr>
          <w:rFonts w:ascii="Arial" w:hAnsi="Arial" w:cs="Arial"/>
          <w:bCs/>
          <w:i/>
          <w:sz w:val="24"/>
          <w:szCs w:val="24"/>
          <w:lang w:val="en-CA"/>
        </w:rPr>
        <w:t>Salaam v. Abramovic</w:t>
      </w:r>
      <w:r w:rsidRPr="00C90492">
        <w:rPr>
          <w:rFonts w:ascii="Arial" w:hAnsi="Arial" w:cs="Arial"/>
          <w:bCs/>
          <w:sz w:val="24"/>
          <w:szCs w:val="24"/>
          <w:lang w:val="en-CA"/>
        </w:rPr>
        <w:t xml:space="preserve">, </w:t>
      </w:r>
      <w:hyperlink r:id="rId77" w:history="1">
        <w:r w:rsidRPr="00C90492">
          <w:rPr>
            <w:rStyle w:val="Hyperlink"/>
            <w:rFonts w:ascii="Arial" w:hAnsi="Arial" w:cs="Arial"/>
            <w:bCs/>
            <w:sz w:val="24"/>
            <w:szCs w:val="24"/>
            <w:u w:val="none"/>
            <w:lang w:val="en-CA"/>
          </w:rPr>
          <w:t>2010 BCCA 212</w:t>
        </w:r>
      </w:hyperlink>
      <w:r w:rsidRPr="00C90492">
        <w:rPr>
          <w:rFonts w:ascii="Arial" w:hAnsi="Arial" w:cs="Arial"/>
          <w:bCs/>
          <w:sz w:val="24"/>
          <w:szCs w:val="24"/>
          <w:lang w:val="en-CA"/>
        </w:rPr>
        <w:t>.</w:t>
      </w:r>
    </w:p>
    <w:p w14:paraId="4945EFD5" w14:textId="01218019" w:rsidR="00504BEC" w:rsidRPr="00504BEC" w:rsidRDefault="00D81C43" w:rsidP="00EF10C2">
      <w:pPr>
        <w:pStyle w:val="ListParagraph"/>
        <w:numPr>
          <w:ilvl w:val="0"/>
          <w:numId w:val="8"/>
        </w:numPr>
        <w:spacing w:line="276" w:lineRule="auto"/>
        <w:ind w:left="360"/>
        <w:jc w:val="both"/>
        <w:rPr>
          <w:rFonts w:ascii="Arial" w:hAnsi="Arial" w:cs="Arial"/>
          <w:sz w:val="28"/>
          <w:szCs w:val="24"/>
          <w:lang w:val="en-CA"/>
        </w:rPr>
      </w:pPr>
      <w:r>
        <w:rPr>
          <w:rFonts w:ascii="Arial" w:hAnsi="Arial" w:cs="Arial"/>
          <w:sz w:val="24"/>
          <w:lang w:val="en-CA"/>
        </w:rPr>
        <w:t>The common law supplement t</w:t>
      </w:r>
      <w:r w:rsidR="00727D3F">
        <w:rPr>
          <w:rFonts w:ascii="Arial" w:hAnsi="Arial" w:cs="Arial"/>
          <w:sz w:val="24"/>
          <w:lang w:val="en-CA"/>
        </w:rPr>
        <w:t>o this</w:t>
      </w:r>
      <w:r>
        <w:rPr>
          <w:rFonts w:ascii="Arial" w:hAnsi="Arial" w:cs="Arial"/>
          <w:sz w:val="24"/>
          <w:lang w:val="en-CA"/>
        </w:rPr>
        <w:t xml:space="preserve"> </w:t>
      </w:r>
      <w:r w:rsidR="00727D3F">
        <w:rPr>
          <w:rFonts w:ascii="Arial" w:hAnsi="Arial" w:cs="Arial"/>
          <w:sz w:val="24"/>
          <w:lang w:val="en-CA"/>
        </w:rPr>
        <w:t xml:space="preserve">statutory </w:t>
      </w:r>
      <w:r>
        <w:rPr>
          <w:rFonts w:ascii="Arial" w:hAnsi="Arial" w:cs="Arial"/>
          <w:sz w:val="24"/>
          <w:lang w:val="en-CA"/>
        </w:rPr>
        <w:t xml:space="preserve">duty of care that was expanded upon in the case of </w:t>
      </w:r>
      <w:r w:rsidRPr="00D81C43">
        <w:rPr>
          <w:rFonts w:ascii="Arial" w:hAnsi="Arial" w:cs="Arial"/>
          <w:i/>
          <w:sz w:val="24"/>
          <w:szCs w:val="24"/>
          <w:lang w:val="en-CA"/>
        </w:rPr>
        <w:t>Salaam v. Abramovic</w:t>
      </w:r>
      <w:r w:rsidRPr="00D81C43">
        <w:rPr>
          <w:rFonts w:ascii="Arial" w:hAnsi="Arial" w:cs="Arial"/>
          <w:sz w:val="24"/>
          <w:szCs w:val="24"/>
          <w:lang w:val="en-CA"/>
        </w:rPr>
        <w:t xml:space="preserve">, </w:t>
      </w:r>
      <w:hyperlink r:id="rId78" w:history="1">
        <w:r w:rsidRPr="00D81C43">
          <w:rPr>
            <w:rStyle w:val="Hyperlink"/>
            <w:rFonts w:ascii="Arial" w:hAnsi="Arial" w:cs="Arial"/>
            <w:sz w:val="24"/>
            <w:szCs w:val="24"/>
            <w:u w:val="none"/>
            <w:lang w:val="en-CA"/>
          </w:rPr>
          <w:t>2010 BCCA 212</w:t>
        </w:r>
      </w:hyperlink>
      <w:r>
        <w:rPr>
          <w:rFonts w:ascii="Arial" w:hAnsi="Arial" w:cs="Arial"/>
          <w:sz w:val="24"/>
          <w:szCs w:val="24"/>
          <w:lang w:val="en-CA"/>
        </w:rPr>
        <w:t xml:space="preserve">. </w:t>
      </w:r>
      <w:r w:rsidR="00727D3F">
        <w:rPr>
          <w:rFonts w:ascii="Arial" w:hAnsi="Arial" w:cs="Arial"/>
          <w:sz w:val="24"/>
          <w:szCs w:val="24"/>
          <w:lang w:val="en-CA"/>
        </w:rPr>
        <w:t>This appeal dealt with a collision that occurred at a “T”</w:t>
      </w:r>
      <w:r w:rsidR="00504BEC">
        <w:rPr>
          <w:rFonts w:ascii="Arial" w:hAnsi="Arial" w:cs="Arial"/>
          <w:sz w:val="24"/>
          <w:szCs w:val="24"/>
          <w:lang w:val="en-CA"/>
        </w:rPr>
        <w:t xml:space="preserve"> intersection of Scott Road and 100</w:t>
      </w:r>
      <w:r w:rsidR="00504BEC" w:rsidRPr="00504BEC">
        <w:rPr>
          <w:rFonts w:ascii="Arial" w:hAnsi="Arial" w:cs="Arial"/>
          <w:sz w:val="24"/>
          <w:szCs w:val="24"/>
          <w:vertAlign w:val="superscript"/>
          <w:lang w:val="en-CA"/>
        </w:rPr>
        <w:t>th</w:t>
      </w:r>
      <w:r w:rsidR="00504BEC">
        <w:rPr>
          <w:rFonts w:ascii="Arial" w:hAnsi="Arial" w:cs="Arial"/>
          <w:sz w:val="24"/>
          <w:szCs w:val="24"/>
          <w:lang w:val="en-CA"/>
        </w:rPr>
        <w:t xml:space="preserve"> avenue in Surrey BC in 2005. </w:t>
      </w:r>
      <w:r w:rsidR="00504BEC" w:rsidRPr="00504BEC">
        <w:rPr>
          <w:rFonts w:ascii="Arial" w:hAnsi="Arial" w:cs="Arial"/>
          <w:sz w:val="24"/>
          <w:szCs w:val="24"/>
          <w:lang w:val="en-CA"/>
        </w:rPr>
        <w:t>When the defendant was approximately 450 feet from the intersection, he noticed the plaintiff's car approaching the stop sign on 120 Street. Its left turn signal was flashing. The plaintiff did not completely stop at the stop sign, but crept forward into the intersection. The defendant was about 350 feet away when he realized that the plaintiff's vehicle was proceeding "with hesitations" into the right-hand northbound lane of Scott Road, where she "paused", but did not sto</w:t>
      </w:r>
      <w:r w:rsidR="00504BEC">
        <w:rPr>
          <w:rFonts w:ascii="Arial" w:hAnsi="Arial" w:cs="Arial"/>
          <w:sz w:val="24"/>
          <w:szCs w:val="24"/>
          <w:lang w:val="en-CA"/>
        </w:rPr>
        <w:t>p.</w:t>
      </w:r>
      <w:r w:rsidR="0015787D">
        <w:rPr>
          <w:rFonts w:ascii="Arial" w:hAnsi="Arial" w:cs="Arial"/>
          <w:sz w:val="24"/>
          <w:szCs w:val="24"/>
          <w:lang w:val="en-CA"/>
        </w:rPr>
        <w:t xml:space="preserve"> Liability was apportioned 100% with the plaintiff.</w:t>
      </w:r>
    </w:p>
    <w:p w14:paraId="1B129F61" w14:textId="77777777" w:rsidR="00504BEC" w:rsidRPr="00504BEC" w:rsidRDefault="00504BEC" w:rsidP="00504BEC">
      <w:pPr>
        <w:pStyle w:val="ListParagraph"/>
        <w:spacing w:line="276" w:lineRule="auto"/>
        <w:ind w:left="360"/>
        <w:jc w:val="both"/>
        <w:rPr>
          <w:rFonts w:ascii="Arial" w:hAnsi="Arial" w:cs="Arial"/>
          <w:sz w:val="28"/>
          <w:szCs w:val="24"/>
          <w:lang w:val="en-CA"/>
        </w:rPr>
      </w:pPr>
    </w:p>
    <w:p w14:paraId="3FB2A6EA" w14:textId="5756CC4D" w:rsidR="00504BEC" w:rsidRPr="00504BEC" w:rsidRDefault="00504BEC" w:rsidP="00EF10C2">
      <w:pPr>
        <w:pStyle w:val="ListParagraph"/>
        <w:numPr>
          <w:ilvl w:val="0"/>
          <w:numId w:val="8"/>
        </w:numPr>
        <w:spacing w:line="276" w:lineRule="auto"/>
        <w:ind w:left="360"/>
        <w:jc w:val="both"/>
        <w:rPr>
          <w:rFonts w:ascii="Arial" w:hAnsi="Arial" w:cs="Arial"/>
          <w:sz w:val="28"/>
          <w:szCs w:val="24"/>
          <w:lang w:val="en-CA"/>
        </w:rPr>
      </w:pPr>
      <w:proofErr w:type="spellStart"/>
      <w:r>
        <w:rPr>
          <w:rFonts w:ascii="Arial" w:hAnsi="Arial" w:cs="Arial"/>
          <w:sz w:val="24"/>
          <w:szCs w:val="24"/>
          <w:lang w:val="en-CA"/>
        </w:rPr>
        <w:t>Groberman</w:t>
      </w:r>
      <w:proofErr w:type="spellEnd"/>
      <w:r>
        <w:rPr>
          <w:rFonts w:ascii="Arial" w:hAnsi="Arial" w:cs="Arial"/>
          <w:sz w:val="24"/>
          <w:szCs w:val="24"/>
          <w:lang w:val="en-CA"/>
        </w:rPr>
        <w:t xml:space="preserve"> J.A., writing for the Court, summarized the ruling in </w:t>
      </w:r>
      <w:proofErr w:type="spellStart"/>
      <w:r w:rsidRPr="00504BEC">
        <w:rPr>
          <w:rFonts w:ascii="Arial" w:hAnsi="Arial" w:cs="Arial"/>
          <w:i/>
          <w:sz w:val="24"/>
          <w:szCs w:val="24"/>
          <w:lang w:val="en-CA"/>
        </w:rPr>
        <w:t>Carich</w:t>
      </w:r>
      <w:proofErr w:type="spellEnd"/>
      <w:r w:rsidRPr="00504BEC">
        <w:rPr>
          <w:rFonts w:ascii="Arial" w:hAnsi="Arial" w:cs="Arial"/>
          <w:i/>
          <w:sz w:val="24"/>
          <w:szCs w:val="24"/>
          <w:lang w:val="en-CA"/>
        </w:rPr>
        <w:t xml:space="preserve"> v. Cook</w:t>
      </w:r>
      <w:r w:rsidRPr="00504BEC">
        <w:rPr>
          <w:rFonts w:ascii="Arial" w:hAnsi="Arial" w:cs="Arial"/>
          <w:sz w:val="24"/>
          <w:szCs w:val="24"/>
          <w:lang w:val="en-CA"/>
        </w:rPr>
        <w:t xml:space="preserve"> </w:t>
      </w:r>
      <w:hyperlink r:id="rId79" w:history="1">
        <w:r w:rsidRPr="00504BEC">
          <w:rPr>
            <w:rStyle w:val="Hyperlink"/>
            <w:rFonts w:ascii="Arial" w:hAnsi="Arial" w:cs="Arial"/>
            <w:sz w:val="24"/>
            <w:szCs w:val="24"/>
            <w:u w:val="none"/>
            <w:lang w:val="en-CA"/>
          </w:rPr>
          <w:t>(1992), 90 D.L.R. (4th) 322 (B.C. C.A.)</w:t>
        </w:r>
      </w:hyperlink>
      <w:r>
        <w:rPr>
          <w:rFonts w:ascii="Arial" w:hAnsi="Arial" w:cs="Arial"/>
          <w:sz w:val="24"/>
          <w:szCs w:val="24"/>
          <w:lang w:val="en-CA"/>
        </w:rPr>
        <w:t>, at 326, where</w:t>
      </w:r>
      <w:r w:rsidRPr="00504BEC">
        <w:rPr>
          <w:rFonts w:ascii="Arial" w:hAnsi="Arial" w:cs="Arial"/>
          <w:sz w:val="24"/>
          <w:szCs w:val="24"/>
          <w:lang w:val="en-CA"/>
        </w:rPr>
        <w:t xml:space="preserve"> </w:t>
      </w:r>
      <w:r>
        <w:rPr>
          <w:rFonts w:ascii="Arial" w:hAnsi="Arial" w:cs="Arial"/>
          <w:sz w:val="24"/>
          <w:szCs w:val="24"/>
          <w:lang w:val="en-CA"/>
        </w:rPr>
        <w:t xml:space="preserve">Lambert J.A. considered s.174 of the </w:t>
      </w:r>
      <w:r>
        <w:rPr>
          <w:rFonts w:ascii="Arial" w:hAnsi="Arial" w:cs="Arial"/>
          <w:i/>
          <w:sz w:val="24"/>
          <w:szCs w:val="24"/>
          <w:lang w:val="en-CA"/>
        </w:rPr>
        <w:t>Act</w:t>
      </w:r>
      <w:r>
        <w:rPr>
          <w:rFonts w:ascii="Arial" w:hAnsi="Arial" w:cs="Arial"/>
          <w:sz w:val="24"/>
          <w:szCs w:val="24"/>
          <w:lang w:val="en-CA"/>
        </w:rPr>
        <w:t>:</w:t>
      </w:r>
    </w:p>
    <w:p w14:paraId="47C0E707" w14:textId="77777777" w:rsidR="00504BEC" w:rsidRPr="00504BEC" w:rsidRDefault="00504BEC" w:rsidP="00504BEC">
      <w:pPr>
        <w:pStyle w:val="ListParagraph"/>
        <w:rPr>
          <w:rFonts w:ascii="Arial" w:hAnsi="Arial" w:cs="Arial"/>
          <w:sz w:val="28"/>
          <w:szCs w:val="24"/>
          <w:lang w:val="en-CA"/>
        </w:rPr>
      </w:pPr>
    </w:p>
    <w:p w14:paraId="37E88A4D" w14:textId="704A6A5A" w:rsidR="00504BEC" w:rsidRPr="00504BEC" w:rsidRDefault="00504BEC" w:rsidP="00504BEC">
      <w:pPr>
        <w:spacing w:line="276" w:lineRule="auto"/>
        <w:ind w:left="720" w:right="720"/>
        <w:jc w:val="both"/>
        <w:rPr>
          <w:rFonts w:ascii="Arial" w:hAnsi="Arial" w:cs="Arial"/>
          <w:i/>
          <w:szCs w:val="24"/>
          <w:lang w:val="en-CA"/>
        </w:rPr>
      </w:pPr>
      <w:r w:rsidRPr="00504BEC">
        <w:rPr>
          <w:rFonts w:ascii="Arial" w:hAnsi="Arial" w:cs="Arial"/>
          <w:i/>
          <w:szCs w:val="24"/>
          <w:lang w:val="en-CA"/>
        </w:rPr>
        <w:t>The question as a driver turns left is whether there is any vehicle in any approaching lanes that constitutes an immediate hazard. If there is, the turn should not be made. If there is not, then the turn can be made and of course, care should be taken throughout the turn and as each new lane is entered to make sure that the situation as it was assessed when the turn started has not changed in the meantime. But that care is more a matter of the ordinary duty of a reasonably careful driver and not a duty, in my view, imposed specifically by s. 176 [now s. 174] which, in my view, states the situation when the turn is commenced. Once the turn is commenced both of the drivers in that situation, the one who is doing a left turn and the ones that are approaching straight ahead in a situation where a vehicle could turn in front of them, all must keep a proper look-out.</w:t>
      </w:r>
    </w:p>
    <w:p w14:paraId="4474BF95" w14:textId="58D16475" w:rsidR="00E66CBD" w:rsidRPr="007C17E5" w:rsidRDefault="00E66CBD" w:rsidP="007C17E5">
      <w:pPr>
        <w:spacing w:line="276" w:lineRule="auto"/>
        <w:jc w:val="both"/>
        <w:rPr>
          <w:rFonts w:ascii="Arial" w:hAnsi="Arial" w:cs="Arial"/>
          <w:sz w:val="28"/>
          <w:szCs w:val="24"/>
          <w:lang w:val="en-CA"/>
        </w:rPr>
      </w:pPr>
    </w:p>
    <w:p w14:paraId="0C2EBC97" w14:textId="5735835F" w:rsidR="00E66CBD" w:rsidRPr="001C1078" w:rsidRDefault="00E66CBD" w:rsidP="00EF10C2">
      <w:pPr>
        <w:pStyle w:val="ListParagraph"/>
        <w:numPr>
          <w:ilvl w:val="0"/>
          <w:numId w:val="8"/>
        </w:numPr>
        <w:spacing w:line="276" w:lineRule="auto"/>
        <w:ind w:left="360"/>
        <w:jc w:val="both"/>
        <w:rPr>
          <w:rFonts w:ascii="Arial" w:hAnsi="Arial" w:cs="Arial"/>
          <w:sz w:val="28"/>
          <w:szCs w:val="24"/>
          <w:lang w:val="en-CA"/>
        </w:rPr>
      </w:pPr>
      <w:r>
        <w:rPr>
          <w:rFonts w:ascii="Arial" w:hAnsi="Arial" w:cs="Arial"/>
          <w:sz w:val="24"/>
          <w:szCs w:val="24"/>
          <w:lang w:val="en-CA"/>
        </w:rPr>
        <w:t xml:space="preserve">In a left turn </w:t>
      </w:r>
      <w:proofErr w:type="gramStart"/>
      <w:r>
        <w:rPr>
          <w:rFonts w:ascii="Arial" w:hAnsi="Arial" w:cs="Arial"/>
          <w:sz w:val="24"/>
          <w:szCs w:val="24"/>
          <w:lang w:val="en-CA"/>
        </w:rPr>
        <w:t>scenario</w:t>
      </w:r>
      <w:proofErr w:type="gramEnd"/>
      <w:r>
        <w:rPr>
          <w:rFonts w:ascii="Arial" w:hAnsi="Arial" w:cs="Arial"/>
          <w:sz w:val="24"/>
          <w:szCs w:val="24"/>
          <w:lang w:val="en-CA"/>
        </w:rPr>
        <w:t xml:space="preserve"> there is a driver who is in a dominant position, and one who is in a servient position. These positions are defined by who has the duty to yield, which will most often be the driver who is making the left turn</w:t>
      </w:r>
      <w:r w:rsidR="001C1078">
        <w:rPr>
          <w:rFonts w:ascii="Arial" w:hAnsi="Arial" w:cs="Arial"/>
          <w:sz w:val="24"/>
          <w:szCs w:val="24"/>
          <w:lang w:val="en-CA"/>
        </w:rPr>
        <w:t xml:space="preserve">, will be in the servient position with the driver proceeding straight through the intersection being in the dominant position. At para. 26, </w:t>
      </w:r>
      <w:proofErr w:type="spellStart"/>
      <w:r>
        <w:rPr>
          <w:rFonts w:ascii="Arial" w:hAnsi="Arial" w:cs="Arial"/>
          <w:sz w:val="24"/>
          <w:szCs w:val="24"/>
          <w:lang w:val="en-CA"/>
        </w:rPr>
        <w:t>Groberman</w:t>
      </w:r>
      <w:proofErr w:type="spellEnd"/>
      <w:r>
        <w:rPr>
          <w:rFonts w:ascii="Arial" w:hAnsi="Arial" w:cs="Arial"/>
          <w:sz w:val="24"/>
          <w:szCs w:val="24"/>
          <w:lang w:val="en-CA"/>
        </w:rPr>
        <w:t xml:space="preserve"> J.A. looked to the concurring judgements of </w:t>
      </w:r>
      <w:r w:rsidRPr="00E66CBD">
        <w:rPr>
          <w:rFonts w:ascii="Arial" w:hAnsi="Arial" w:cs="Arial"/>
          <w:sz w:val="24"/>
          <w:szCs w:val="24"/>
          <w:lang w:val="en-CA"/>
        </w:rPr>
        <w:t xml:space="preserve">Cartwright and Locke JJ. in </w:t>
      </w:r>
      <w:r w:rsidRPr="00E66CBD">
        <w:rPr>
          <w:rFonts w:ascii="Arial" w:hAnsi="Arial" w:cs="Arial"/>
          <w:i/>
          <w:sz w:val="24"/>
          <w:szCs w:val="24"/>
          <w:lang w:val="en-CA"/>
        </w:rPr>
        <w:t>Walker v. Brownlee</w:t>
      </w:r>
      <w:r w:rsidRPr="00E66CBD">
        <w:rPr>
          <w:rFonts w:ascii="Arial" w:hAnsi="Arial" w:cs="Arial"/>
          <w:sz w:val="24"/>
          <w:szCs w:val="24"/>
          <w:lang w:val="en-CA"/>
        </w:rPr>
        <w:t xml:space="preserve">, </w:t>
      </w:r>
      <w:hyperlink r:id="rId80" w:history="1">
        <w:r w:rsidRPr="00E66CBD">
          <w:rPr>
            <w:rStyle w:val="Hyperlink"/>
            <w:rFonts w:ascii="Arial" w:hAnsi="Arial" w:cs="Arial"/>
            <w:sz w:val="24"/>
            <w:szCs w:val="24"/>
            <w:u w:val="none"/>
            <w:lang w:val="en-CA"/>
          </w:rPr>
          <w:t>[1952] 2 D.L.R. 450 (S.C.C.)</w:t>
        </w:r>
      </w:hyperlink>
      <w:r w:rsidRPr="00E66CBD">
        <w:rPr>
          <w:rFonts w:ascii="Arial" w:hAnsi="Arial" w:cs="Arial"/>
          <w:sz w:val="24"/>
          <w:szCs w:val="24"/>
          <w:lang w:val="en-CA"/>
        </w:rPr>
        <w:t>, at 460-61,</w:t>
      </w:r>
      <w:r w:rsidR="001C1078">
        <w:rPr>
          <w:rFonts w:ascii="Arial" w:hAnsi="Arial" w:cs="Arial"/>
          <w:sz w:val="24"/>
          <w:szCs w:val="24"/>
          <w:lang w:val="en-CA"/>
        </w:rPr>
        <w:t xml:space="preserve"> which supports the proposition that the servient driver is under a duty to yield, and as such</w:t>
      </w:r>
      <w:r w:rsidR="007F10E8">
        <w:rPr>
          <w:rFonts w:ascii="Arial" w:hAnsi="Arial" w:cs="Arial"/>
          <w:sz w:val="24"/>
          <w:szCs w:val="24"/>
          <w:lang w:val="en-CA"/>
        </w:rPr>
        <w:t>, is</w:t>
      </w:r>
      <w:r w:rsidR="001C1078">
        <w:rPr>
          <w:rFonts w:ascii="Arial" w:hAnsi="Arial" w:cs="Arial"/>
          <w:sz w:val="24"/>
          <w:szCs w:val="24"/>
          <w:lang w:val="en-CA"/>
        </w:rPr>
        <w:t xml:space="preserve"> in the </w:t>
      </w:r>
      <w:r w:rsidR="00236FED">
        <w:rPr>
          <w:rFonts w:ascii="Arial" w:hAnsi="Arial" w:cs="Arial"/>
          <w:sz w:val="24"/>
          <w:szCs w:val="24"/>
          <w:lang w:val="en-CA"/>
        </w:rPr>
        <w:t xml:space="preserve">best </w:t>
      </w:r>
      <w:r w:rsidR="001C1078">
        <w:rPr>
          <w:rFonts w:ascii="Arial" w:hAnsi="Arial" w:cs="Arial"/>
          <w:sz w:val="24"/>
          <w:szCs w:val="24"/>
          <w:lang w:val="en-CA"/>
        </w:rPr>
        <w:t>position to avoid a collision.</w:t>
      </w:r>
    </w:p>
    <w:p w14:paraId="5330975A" w14:textId="77777777" w:rsidR="001C1078" w:rsidRPr="001C1078" w:rsidRDefault="001C1078" w:rsidP="001C1078">
      <w:pPr>
        <w:pStyle w:val="ListParagraph"/>
        <w:rPr>
          <w:rFonts w:ascii="Arial" w:hAnsi="Arial" w:cs="Arial"/>
          <w:sz w:val="28"/>
          <w:szCs w:val="24"/>
          <w:lang w:val="en-CA"/>
        </w:rPr>
      </w:pPr>
    </w:p>
    <w:p w14:paraId="4007A0EB" w14:textId="657C3428" w:rsidR="001C1078" w:rsidRPr="007C17E5" w:rsidRDefault="007C17E5" w:rsidP="00EF10C2">
      <w:pPr>
        <w:pStyle w:val="ListParagraph"/>
        <w:numPr>
          <w:ilvl w:val="0"/>
          <w:numId w:val="8"/>
        </w:numPr>
        <w:spacing w:line="276" w:lineRule="auto"/>
        <w:ind w:left="360"/>
        <w:jc w:val="both"/>
        <w:rPr>
          <w:rFonts w:ascii="Arial" w:hAnsi="Arial" w:cs="Arial"/>
          <w:sz w:val="28"/>
          <w:szCs w:val="24"/>
          <w:lang w:val="en-CA"/>
        </w:rPr>
      </w:pPr>
      <w:r>
        <w:rPr>
          <w:rFonts w:ascii="Arial" w:hAnsi="Arial" w:cs="Arial"/>
          <w:sz w:val="24"/>
          <w:szCs w:val="24"/>
          <w:lang w:val="en-CA"/>
        </w:rPr>
        <w:t xml:space="preserve">At para. 25, </w:t>
      </w:r>
      <w:proofErr w:type="spellStart"/>
      <w:r>
        <w:rPr>
          <w:rFonts w:ascii="Arial" w:hAnsi="Arial" w:cs="Arial"/>
          <w:sz w:val="24"/>
          <w:szCs w:val="24"/>
          <w:lang w:val="en-CA"/>
        </w:rPr>
        <w:t>Groberman</w:t>
      </w:r>
      <w:proofErr w:type="spellEnd"/>
      <w:r>
        <w:rPr>
          <w:rFonts w:ascii="Arial" w:hAnsi="Arial" w:cs="Arial"/>
          <w:sz w:val="24"/>
          <w:szCs w:val="24"/>
          <w:lang w:val="en-CA"/>
        </w:rPr>
        <w:t xml:space="preserve"> J.A. built upon this duty, and ruled that drivers are entitled to rely upon the following presumption:</w:t>
      </w:r>
    </w:p>
    <w:p w14:paraId="0E16F357" w14:textId="77777777" w:rsidR="007C17E5" w:rsidRPr="007C17E5" w:rsidRDefault="007C17E5" w:rsidP="007C17E5">
      <w:pPr>
        <w:pStyle w:val="ListParagraph"/>
        <w:rPr>
          <w:rFonts w:ascii="Arial" w:hAnsi="Arial" w:cs="Arial"/>
          <w:sz w:val="28"/>
          <w:szCs w:val="24"/>
          <w:lang w:val="en-CA"/>
        </w:rPr>
      </w:pPr>
    </w:p>
    <w:p w14:paraId="03B294F2" w14:textId="5548AC8E" w:rsidR="007C17E5" w:rsidRPr="007C17E5" w:rsidRDefault="007C17E5" w:rsidP="007C17E5">
      <w:pPr>
        <w:spacing w:line="276" w:lineRule="auto"/>
        <w:ind w:left="720" w:right="720"/>
        <w:jc w:val="both"/>
        <w:rPr>
          <w:rFonts w:ascii="Arial" w:hAnsi="Arial" w:cs="Arial"/>
          <w:i/>
          <w:szCs w:val="24"/>
          <w:lang w:val="en-CA"/>
        </w:rPr>
      </w:pPr>
      <w:r w:rsidRPr="007C17E5">
        <w:rPr>
          <w:rFonts w:ascii="Arial" w:hAnsi="Arial" w:cs="Arial"/>
          <w:i/>
          <w:szCs w:val="24"/>
          <w:lang w:val="en-CA"/>
        </w:rPr>
        <w:t>25      A driver like the defendant, who is in a dominant position, will not typically be found to be liable for an accident. Drivers are generally entitled to assume that others will obey the rules of the road. Further, though defensive driving and courteous operation of motor vehicles are to be encouraged, they do not necessarily represent the standard of care for the purposes of a negligence action. A driver will not be held to have breached the standard of care simply because he or she failed to take extraordinary steps to avoid an accident or to show exceptional proficiency in the operation of a motor vehicle.</w:t>
      </w:r>
    </w:p>
    <w:p w14:paraId="79D22C30" w14:textId="6173A91B" w:rsidR="00424183" w:rsidRPr="00E61914" w:rsidRDefault="00424183" w:rsidP="00E61914">
      <w:pPr>
        <w:spacing w:line="276" w:lineRule="auto"/>
        <w:jc w:val="both"/>
        <w:rPr>
          <w:rFonts w:ascii="Arial" w:hAnsi="Arial" w:cs="Arial"/>
          <w:sz w:val="28"/>
          <w:szCs w:val="24"/>
          <w:lang w:val="en-CA"/>
        </w:rPr>
      </w:pPr>
    </w:p>
    <w:p w14:paraId="16100693" w14:textId="4A69CD8A" w:rsidR="0015787D" w:rsidRPr="007F10E8" w:rsidRDefault="0015787D" w:rsidP="00EF10C2">
      <w:pPr>
        <w:pStyle w:val="ListParagraph"/>
        <w:numPr>
          <w:ilvl w:val="0"/>
          <w:numId w:val="8"/>
        </w:numPr>
        <w:spacing w:line="276" w:lineRule="auto"/>
        <w:ind w:left="360"/>
        <w:jc w:val="both"/>
        <w:rPr>
          <w:rFonts w:ascii="Arial" w:hAnsi="Arial" w:cs="Arial"/>
          <w:sz w:val="28"/>
          <w:szCs w:val="24"/>
          <w:lang w:val="en-CA"/>
        </w:rPr>
      </w:pPr>
      <w:r>
        <w:rPr>
          <w:rFonts w:ascii="Arial" w:hAnsi="Arial" w:cs="Arial"/>
          <w:sz w:val="24"/>
          <w:szCs w:val="24"/>
          <w:lang w:val="en-CA"/>
        </w:rPr>
        <w:t xml:space="preserve">At para. 33, </w:t>
      </w:r>
      <w:proofErr w:type="spellStart"/>
      <w:r>
        <w:rPr>
          <w:rFonts w:ascii="Arial" w:hAnsi="Arial" w:cs="Arial"/>
          <w:sz w:val="24"/>
          <w:szCs w:val="24"/>
          <w:lang w:val="en-CA"/>
        </w:rPr>
        <w:t>Groberman</w:t>
      </w:r>
      <w:proofErr w:type="spellEnd"/>
      <w:r>
        <w:rPr>
          <w:rFonts w:ascii="Arial" w:hAnsi="Arial" w:cs="Arial"/>
          <w:sz w:val="24"/>
          <w:szCs w:val="24"/>
          <w:lang w:val="en-CA"/>
        </w:rPr>
        <w:t xml:space="preserve"> J.A. explained that the use of the words “immediate hazard” in </w:t>
      </w:r>
      <w:r w:rsidRPr="00E66CBD">
        <w:rPr>
          <w:rFonts w:ascii="Arial" w:hAnsi="Arial" w:cs="Arial"/>
          <w:i/>
          <w:sz w:val="24"/>
          <w:szCs w:val="24"/>
          <w:lang w:val="en-CA"/>
        </w:rPr>
        <w:t>Walker v. Brownlee</w:t>
      </w:r>
      <w:r>
        <w:rPr>
          <w:rFonts w:ascii="Arial" w:hAnsi="Arial" w:cs="Arial"/>
          <w:sz w:val="24"/>
          <w:szCs w:val="24"/>
          <w:lang w:val="en-CA"/>
        </w:rPr>
        <w:t xml:space="preserve">, and s.174 of the </w:t>
      </w:r>
      <w:r>
        <w:rPr>
          <w:rFonts w:ascii="Arial" w:hAnsi="Arial" w:cs="Arial"/>
          <w:i/>
          <w:sz w:val="24"/>
          <w:szCs w:val="24"/>
          <w:lang w:val="en-CA"/>
        </w:rPr>
        <w:t xml:space="preserve">Act </w:t>
      </w:r>
      <w:r>
        <w:rPr>
          <w:rFonts w:ascii="Arial" w:hAnsi="Arial" w:cs="Arial"/>
          <w:sz w:val="24"/>
          <w:szCs w:val="24"/>
          <w:lang w:val="en-CA"/>
        </w:rPr>
        <w:t>are what is used to determine when a vehicle may lawfully enter an intersection.</w:t>
      </w:r>
    </w:p>
    <w:p w14:paraId="02B7E834" w14:textId="77777777" w:rsidR="007F10E8" w:rsidRPr="0015787D" w:rsidRDefault="007F10E8" w:rsidP="007F10E8">
      <w:pPr>
        <w:pStyle w:val="ListParagraph"/>
        <w:spacing w:line="276" w:lineRule="auto"/>
        <w:ind w:left="360"/>
        <w:jc w:val="both"/>
        <w:rPr>
          <w:rFonts w:ascii="Arial" w:hAnsi="Arial" w:cs="Arial"/>
          <w:sz w:val="28"/>
          <w:szCs w:val="24"/>
          <w:lang w:val="en-CA"/>
        </w:rPr>
      </w:pPr>
    </w:p>
    <w:p w14:paraId="578E1FA4" w14:textId="7405E031" w:rsidR="007C17E5" w:rsidRPr="0015787D" w:rsidRDefault="0015787D" w:rsidP="00EF10C2">
      <w:pPr>
        <w:pStyle w:val="ListParagraph"/>
        <w:numPr>
          <w:ilvl w:val="0"/>
          <w:numId w:val="8"/>
        </w:numPr>
        <w:spacing w:line="276" w:lineRule="auto"/>
        <w:ind w:left="360"/>
        <w:jc w:val="both"/>
        <w:rPr>
          <w:rFonts w:ascii="Arial" w:hAnsi="Arial" w:cs="Arial"/>
          <w:sz w:val="28"/>
          <w:szCs w:val="24"/>
          <w:lang w:val="en-CA"/>
        </w:rPr>
      </w:pPr>
      <w:r>
        <w:rPr>
          <w:rFonts w:ascii="Arial" w:hAnsi="Arial" w:cs="Arial"/>
          <w:sz w:val="24"/>
          <w:szCs w:val="24"/>
          <w:lang w:val="en-CA"/>
        </w:rPr>
        <w:t xml:space="preserve">The defendant attempted to proceed through the intersection, despite seeing the “immediate hazard” that the plaintiff presented by not stopping at their stop sign. </w:t>
      </w:r>
      <w:r w:rsidR="008033F9">
        <w:rPr>
          <w:rFonts w:ascii="Arial" w:hAnsi="Arial" w:cs="Arial"/>
          <w:sz w:val="24"/>
          <w:szCs w:val="24"/>
          <w:lang w:val="en-CA"/>
        </w:rPr>
        <w:t xml:space="preserve">As such, </w:t>
      </w:r>
      <w:proofErr w:type="spellStart"/>
      <w:r>
        <w:rPr>
          <w:rFonts w:ascii="Arial" w:hAnsi="Arial" w:cs="Arial"/>
          <w:sz w:val="24"/>
          <w:szCs w:val="24"/>
          <w:lang w:val="en-CA"/>
        </w:rPr>
        <w:t>Groberman</w:t>
      </w:r>
      <w:proofErr w:type="spellEnd"/>
      <w:r>
        <w:rPr>
          <w:rFonts w:ascii="Arial" w:hAnsi="Arial" w:cs="Arial"/>
          <w:sz w:val="24"/>
          <w:szCs w:val="24"/>
          <w:lang w:val="en-CA"/>
        </w:rPr>
        <w:t xml:space="preserve"> J.A. found that on the facts of this case, the trial judge had made an error, and reapportioned liability 75% to the plaintiff and 25% to the defendant.</w:t>
      </w:r>
    </w:p>
    <w:p w14:paraId="5783AC88" w14:textId="77777777" w:rsidR="00EC55D0" w:rsidRDefault="00EC55D0" w:rsidP="0015787D">
      <w:pPr>
        <w:spacing w:line="276" w:lineRule="auto"/>
        <w:jc w:val="both"/>
        <w:rPr>
          <w:rFonts w:ascii="Arial" w:hAnsi="Arial" w:cs="Arial"/>
          <w:sz w:val="28"/>
          <w:szCs w:val="24"/>
          <w:lang w:val="en-CA"/>
        </w:rPr>
      </w:pPr>
    </w:p>
    <w:p w14:paraId="4D3040BE" w14:textId="04494AED" w:rsidR="0015787D" w:rsidRPr="005F0942" w:rsidRDefault="00EC55D0" w:rsidP="0055073C">
      <w:pPr>
        <w:spacing w:line="276" w:lineRule="auto"/>
        <w:ind w:firstLine="360"/>
        <w:jc w:val="both"/>
        <w:rPr>
          <w:rFonts w:ascii="Arial" w:hAnsi="Arial" w:cs="Arial"/>
          <w:sz w:val="24"/>
          <w:szCs w:val="24"/>
          <w:lang w:val="en-CA"/>
        </w:rPr>
      </w:pPr>
      <w:r w:rsidRPr="005F0942">
        <w:rPr>
          <w:rFonts w:ascii="Arial" w:hAnsi="Arial" w:cs="Arial"/>
          <w:i/>
          <w:sz w:val="24"/>
          <w:szCs w:val="24"/>
          <w:lang w:val="en-CA"/>
        </w:rPr>
        <w:t>Nerval v. Khehra,</w:t>
      </w:r>
      <w:r w:rsidRPr="005F0942">
        <w:rPr>
          <w:rFonts w:ascii="Arial" w:hAnsi="Arial" w:cs="Arial"/>
          <w:sz w:val="24"/>
          <w:szCs w:val="24"/>
          <w:lang w:val="en-CA"/>
        </w:rPr>
        <w:t xml:space="preserve"> </w:t>
      </w:r>
      <w:hyperlink r:id="rId81" w:history="1">
        <w:r w:rsidRPr="005F0942">
          <w:rPr>
            <w:rStyle w:val="Hyperlink"/>
            <w:rFonts w:ascii="Arial" w:hAnsi="Arial" w:cs="Arial"/>
            <w:sz w:val="24"/>
            <w:szCs w:val="24"/>
            <w:u w:val="none"/>
            <w:lang w:val="en-CA"/>
          </w:rPr>
          <w:t>2012 BCCA 436</w:t>
        </w:r>
      </w:hyperlink>
    </w:p>
    <w:p w14:paraId="76BE8558" w14:textId="70450DBD" w:rsidR="008033F9" w:rsidRPr="00424183" w:rsidRDefault="008033F9" w:rsidP="00EF10C2">
      <w:pPr>
        <w:pStyle w:val="ListParagraph"/>
        <w:numPr>
          <w:ilvl w:val="0"/>
          <w:numId w:val="8"/>
        </w:numPr>
        <w:spacing w:line="276" w:lineRule="auto"/>
        <w:ind w:left="360"/>
        <w:jc w:val="both"/>
        <w:rPr>
          <w:rFonts w:ascii="Arial" w:hAnsi="Arial" w:cs="Arial"/>
          <w:sz w:val="28"/>
          <w:szCs w:val="24"/>
          <w:lang w:val="en-CA"/>
        </w:rPr>
      </w:pPr>
      <w:r>
        <w:rPr>
          <w:rFonts w:ascii="Arial" w:hAnsi="Arial" w:cs="Arial"/>
          <w:sz w:val="24"/>
          <w:szCs w:val="24"/>
          <w:lang w:val="en-CA"/>
        </w:rPr>
        <w:t xml:space="preserve">In </w:t>
      </w:r>
      <w:r w:rsidR="007F10E8" w:rsidRPr="007F10E8">
        <w:rPr>
          <w:rFonts w:ascii="Arial" w:hAnsi="Arial" w:cs="Arial"/>
          <w:sz w:val="24"/>
          <w:szCs w:val="24"/>
          <w:lang w:val="en-CA"/>
        </w:rPr>
        <w:t>this case</w:t>
      </w:r>
      <w:r w:rsidR="007F10E8">
        <w:rPr>
          <w:rFonts w:ascii="Arial" w:hAnsi="Arial" w:cs="Arial"/>
          <w:i/>
          <w:sz w:val="24"/>
          <w:szCs w:val="24"/>
          <w:lang w:val="en-CA"/>
        </w:rPr>
        <w:t xml:space="preserve"> </w:t>
      </w:r>
      <w:r>
        <w:rPr>
          <w:rFonts w:ascii="Arial" w:hAnsi="Arial" w:cs="Arial"/>
          <w:sz w:val="24"/>
          <w:szCs w:val="24"/>
          <w:lang w:val="en-CA"/>
        </w:rPr>
        <w:t xml:space="preserve">the </w:t>
      </w:r>
      <w:r w:rsidR="007F10E8">
        <w:rPr>
          <w:rFonts w:ascii="Arial" w:hAnsi="Arial" w:cs="Arial"/>
          <w:sz w:val="24"/>
          <w:szCs w:val="24"/>
          <w:lang w:val="en-CA"/>
        </w:rPr>
        <w:t xml:space="preserve">BC </w:t>
      </w:r>
      <w:r w:rsidR="00424183">
        <w:rPr>
          <w:rFonts w:ascii="Arial" w:hAnsi="Arial" w:cs="Arial"/>
          <w:sz w:val="24"/>
          <w:szCs w:val="24"/>
          <w:lang w:val="en-CA"/>
        </w:rPr>
        <w:t>Court of Appeal considered an appeal where Ms. Nerval was performing a left turn across an oncoming wide single lane</w:t>
      </w:r>
      <w:r w:rsidR="007F10E8">
        <w:rPr>
          <w:rFonts w:ascii="Arial" w:hAnsi="Arial" w:cs="Arial"/>
          <w:sz w:val="24"/>
          <w:szCs w:val="24"/>
          <w:lang w:val="en-CA"/>
        </w:rPr>
        <w:t>,</w:t>
      </w:r>
      <w:r w:rsidR="00424183">
        <w:rPr>
          <w:rFonts w:ascii="Arial" w:hAnsi="Arial" w:cs="Arial"/>
          <w:sz w:val="24"/>
          <w:szCs w:val="24"/>
          <w:lang w:val="en-CA"/>
        </w:rPr>
        <w:t xml:space="preserve"> and was struck by the vehicle driven by Ms. Khehra</w:t>
      </w:r>
      <w:r w:rsidR="007F10E8">
        <w:rPr>
          <w:rFonts w:ascii="Arial" w:hAnsi="Arial" w:cs="Arial"/>
          <w:sz w:val="24"/>
          <w:szCs w:val="24"/>
          <w:lang w:val="en-CA"/>
        </w:rPr>
        <w:t>,</w:t>
      </w:r>
      <w:r w:rsidR="00424183">
        <w:rPr>
          <w:rFonts w:ascii="Arial" w:hAnsi="Arial" w:cs="Arial"/>
          <w:sz w:val="24"/>
          <w:szCs w:val="24"/>
          <w:lang w:val="en-CA"/>
        </w:rPr>
        <w:t xml:space="preserve"> wh</w:t>
      </w:r>
      <w:r w:rsidR="007F10E8">
        <w:rPr>
          <w:rFonts w:ascii="Arial" w:hAnsi="Arial" w:cs="Arial"/>
          <w:sz w:val="24"/>
          <w:szCs w:val="24"/>
          <w:lang w:val="en-CA"/>
        </w:rPr>
        <w:t>o</w:t>
      </w:r>
      <w:r w:rsidR="00424183">
        <w:rPr>
          <w:rFonts w:ascii="Arial" w:hAnsi="Arial" w:cs="Arial"/>
          <w:sz w:val="24"/>
          <w:szCs w:val="24"/>
          <w:lang w:val="en-CA"/>
        </w:rPr>
        <w:t xml:space="preserve"> was proceeding straight through the intersection. At first instance, the trial judge apportioned </w:t>
      </w:r>
      <w:r w:rsidR="00424183" w:rsidRPr="00424183">
        <w:rPr>
          <w:rFonts w:ascii="Arial" w:hAnsi="Arial" w:cs="Arial"/>
          <w:sz w:val="24"/>
          <w:szCs w:val="24"/>
          <w:lang w:val="en-CA"/>
        </w:rPr>
        <w:t>60% of the fault for the accident to Ms. Nerval, and 40% of the fault to Ms. Khehra.</w:t>
      </w:r>
    </w:p>
    <w:p w14:paraId="41C02F90" w14:textId="77777777" w:rsidR="00424183" w:rsidRPr="00424183" w:rsidRDefault="00424183" w:rsidP="00424183">
      <w:pPr>
        <w:pStyle w:val="ListParagraph"/>
        <w:rPr>
          <w:rFonts w:ascii="Arial" w:hAnsi="Arial" w:cs="Arial"/>
          <w:sz w:val="28"/>
          <w:szCs w:val="24"/>
          <w:lang w:val="en-CA"/>
        </w:rPr>
      </w:pPr>
    </w:p>
    <w:p w14:paraId="48F73676" w14:textId="2DF83944" w:rsidR="00E61914" w:rsidRPr="00E61914" w:rsidRDefault="00424183" w:rsidP="00EF10C2">
      <w:pPr>
        <w:pStyle w:val="ListParagraph"/>
        <w:numPr>
          <w:ilvl w:val="0"/>
          <w:numId w:val="8"/>
        </w:numPr>
        <w:spacing w:line="276" w:lineRule="auto"/>
        <w:ind w:left="360"/>
        <w:jc w:val="both"/>
        <w:rPr>
          <w:rFonts w:ascii="Arial" w:hAnsi="Arial" w:cs="Arial"/>
          <w:sz w:val="28"/>
          <w:szCs w:val="24"/>
          <w:lang w:val="en-CA"/>
        </w:rPr>
      </w:pPr>
      <w:r>
        <w:rPr>
          <w:rFonts w:ascii="Arial" w:hAnsi="Arial" w:cs="Arial"/>
          <w:sz w:val="24"/>
          <w:szCs w:val="24"/>
          <w:lang w:val="en-CA"/>
        </w:rPr>
        <w:t xml:space="preserve">Writing for the Court, Harris J.A., </w:t>
      </w:r>
      <w:r w:rsidR="00E61914">
        <w:rPr>
          <w:rFonts w:ascii="Arial" w:hAnsi="Arial" w:cs="Arial"/>
          <w:sz w:val="24"/>
          <w:szCs w:val="24"/>
          <w:lang w:val="en-CA"/>
        </w:rPr>
        <w:t xml:space="preserve">at para. 29 endorsed the authority of </w:t>
      </w:r>
      <w:r w:rsidR="00E61914" w:rsidRPr="00E61914">
        <w:rPr>
          <w:rFonts w:ascii="Arial" w:hAnsi="Arial" w:cs="Arial"/>
          <w:i/>
          <w:sz w:val="24"/>
          <w:szCs w:val="24"/>
          <w:lang w:val="en-CA"/>
        </w:rPr>
        <w:t>Pacheco (Guardian ad litem of) v. Robinson</w:t>
      </w:r>
      <w:r w:rsidR="00E61914" w:rsidRPr="00E61914">
        <w:rPr>
          <w:rFonts w:ascii="Arial" w:hAnsi="Arial" w:cs="Arial"/>
          <w:sz w:val="24"/>
          <w:szCs w:val="24"/>
          <w:lang w:val="en-CA"/>
        </w:rPr>
        <w:t xml:space="preserve"> </w:t>
      </w:r>
      <w:hyperlink r:id="rId82" w:history="1">
        <w:r w:rsidR="00E61914" w:rsidRPr="00E61914">
          <w:rPr>
            <w:rStyle w:val="Hyperlink"/>
            <w:rFonts w:ascii="Arial" w:hAnsi="Arial" w:cs="Arial"/>
            <w:sz w:val="24"/>
            <w:szCs w:val="24"/>
            <w:u w:val="none"/>
            <w:lang w:val="en-CA"/>
          </w:rPr>
          <w:t>(1993), 75 B.C.L.R. (2d) 273 (B.C. C.A.)</w:t>
        </w:r>
      </w:hyperlink>
      <w:r w:rsidR="00E61914" w:rsidRPr="00E61914">
        <w:rPr>
          <w:rFonts w:ascii="Arial" w:hAnsi="Arial" w:cs="Arial"/>
          <w:sz w:val="24"/>
          <w:szCs w:val="24"/>
          <w:lang w:val="en-CA"/>
        </w:rPr>
        <w:t xml:space="preserve"> </w:t>
      </w:r>
      <w:r w:rsidR="00E61914">
        <w:rPr>
          <w:rFonts w:ascii="Arial" w:hAnsi="Arial" w:cs="Arial"/>
          <w:sz w:val="24"/>
          <w:szCs w:val="24"/>
          <w:lang w:val="en-CA"/>
        </w:rPr>
        <w:t xml:space="preserve">where </w:t>
      </w:r>
      <w:r w:rsidR="00E61914" w:rsidRPr="00E61914">
        <w:rPr>
          <w:rFonts w:ascii="Arial" w:hAnsi="Arial" w:cs="Arial"/>
          <w:sz w:val="24"/>
          <w:szCs w:val="24"/>
          <w:lang w:val="en-CA"/>
        </w:rPr>
        <w:t>at para. 15</w:t>
      </w:r>
      <w:r w:rsidR="00E61914">
        <w:rPr>
          <w:rFonts w:ascii="Arial" w:hAnsi="Arial" w:cs="Arial"/>
          <w:sz w:val="24"/>
          <w:szCs w:val="24"/>
          <w:lang w:val="en-CA"/>
        </w:rPr>
        <w:t xml:space="preserve"> Legg J.A. stated:</w:t>
      </w:r>
    </w:p>
    <w:p w14:paraId="320F7796" w14:textId="3EE526DA" w:rsidR="00E61914" w:rsidRPr="00E61914" w:rsidRDefault="00E61914" w:rsidP="00E61914">
      <w:pPr>
        <w:ind w:left="720" w:right="720"/>
        <w:rPr>
          <w:rFonts w:ascii="Arial" w:hAnsi="Arial" w:cs="Arial"/>
          <w:i/>
          <w:szCs w:val="24"/>
          <w:lang w:val="en-CA"/>
        </w:rPr>
      </w:pPr>
      <w:r>
        <w:rPr>
          <w:rFonts w:ascii="Arial" w:hAnsi="Arial" w:cs="Arial"/>
          <w:i/>
          <w:szCs w:val="24"/>
          <w:lang w:val="en-CA"/>
        </w:rPr>
        <w:br/>
      </w:r>
      <w:r w:rsidRPr="00E61914">
        <w:rPr>
          <w:rFonts w:ascii="Arial" w:hAnsi="Arial" w:cs="Arial"/>
          <w:i/>
          <w:szCs w:val="24"/>
          <w:lang w:val="en-CA"/>
        </w:rPr>
        <w:t>In my opinion, a driver who wishes to make a left hand turn at an intersection has an obligation not to proceed unless it can be done safely. Where each party's vision of the other is blocked by traffic, the dominant driver who is proceeding through the intersection is generally entitled to continue and the servient left-turning driver must yield the right of way. The existence of a left-turning vehicle does not raise a presumption that something unexpected might happen and cast a duty on the dominant driver to take extra care. Where the defendant, as here, has totally failed to determine whether a turn can be made safely, the defendant should be held 100 per cent at fault for a collision which occurs.</w:t>
      </w:r>
      <w:r>
        <w:rPr>
          <w:rFonts w:ascii="Arial" w:hAnsi="Arial" w:cs="Arial"/>
          <w:i/>
          <w:szCs w:val="24"/>
          <w:lang w:val="en-CA"/>
        </w:rPr>
        <w:br/>
      </w:r>
    </w:p>
    <w:p w14:paraId="150728F6" w14:textId="2AA4FE66" w:rsidR="00E61914" w:rsidRDefault="00395000" w:rsidP="00EF10C2">
      <w:pPr>
        <w:pStyle w:val="ListParagraph"/>
        <w:numPr>
          <w:ilvl w:val="0"/>
          <w:numId w:val="8"/>
        </w:numPr>
        <w:spacing w:line="276" w:lineRule="auto"/>
        <w:ind w:left="360"/>
        <w:jc w:val="both"/>
        <w:rPr>
          <w:rFonts w:ascii="Arial" w:hAnsi="Arial" w:cs="Arial"/>
          <w:sz w:val="24"/>
          <w:szCs w:val="24"/>
          <w:lang w:val="en-CA"/>
        </w:rPr>
      </w:pPr>
      <w:r w:rsidRPr="00395000">
        <w:rPr>
          <w:rFonts w:ascii="Arial" w:hAnsi="Arial" w:cs="Arial"/>
          <w:sz w:val="24"/>
          <w:szCs w:val="24"/>
          <w:lang w:val="en-CA"/>
        </w:rPr>
        <w:t>Harris J.A.</w:t>
      </w:r>
      <w:r>
        <w:rPr>
          <w:rFonts w:ascii="Arial" w:hAnsi="Arial" w:cs="Arial"/>
          <w:sz w:val="24"/>
          <w:szCs w:val="24"/>
          <w:lang w:val="en-CA"/>
        </w:rPr>
        <w:t xml:space="preserve"> went on to explain at para. 35 that the effect of s.174 of the </w:t>
      </w:r>
      <w:r>
        <w:rPr>
          <w:rFonts w:ascii="Arial" w:hAnsi="Arial" w:cs="Arial"/>
          <w:i/>
          <w:sz w:val="24"/>
          <w:szCs w:val="24"/>
          <w:lang w:val="en-CA"/>
        </w:rPr>
        <w:t xml:space="preserve">Act </w:t>
      </w:r>
      <w:r>
        <w:rPr>
          <w:rFonts w:ascii="Arial" w:hAnsi="Arial" w:cs="Arial"/>
          <w:sz w:val="24"/>
          <w:szCs w:val="24"/>
          <w:lang w:val="en-CA"/>
        </w:rPr>
        <w:t xml:space="preserve">is to place a burden on the left turning driver to prove an absence of an immediate hazard when they commenced their left turn. At para. 37, Harris J.A. explained that there is a second aspect to the burden placed on the left turning driver by s. 174. This burden is that it must be proved that </w:t>
      </w:r>
      <w:r w:rsidR="00810E77">
        <w:rPr>
          <w:rFonts w:ascii="Arial" w:hAnsi="Arial" w:cs="Arial"/>
          <w:sz w:val="24"/>
          <w:szCs w:val="24"/>
          <w:lang w:val="en-CA"/>
        </w:rPr>
        <w:t xml:space="preserve">despite being the dominant driver, that the other driver was negligent and at fault for causing or contributing to the accident. </w:t>
      </w:r>
      <w:r>
        <w:rPr>
          <w:rFonts w:ascii="Arial" w:hAnsi="Arial" w:cs="Arial"/>
          <w:sz w:val="24"/>
          <w:szCs w:val="24"/>
          <w:lang w:val="en-CA"/>
        </w:rPr>
        <w:t xml:space="preserve"> </w:t>
      </w:r>
    </w:p>
    <w:p w14:paraId="16C06B4B" w14:textId="77777777" w:rsidR="00810E77" w:rsidRDefault="00810E77" w:rsidP="00810E77">
      <w:pPr>
        <w:pStyle w:val="ListParagraph"/>
        <w:spacing w:line="276" w:lineRule="auto"/>
        <w:ind w:left="360"/>
        <w:jc w:val="both"/>
        <w:rPr>
          <w:rFonts w:ascii="Arial" w:hAnsi="Arial" w:cs="Arial"/>
          <w:sz w:val="24"/>
          <w:szCs w:val="24"/>
          <w:lang w:val="en-CA"/>
        </w:rPr>
      </w:pPr>
    </w:p>
    <w:p w14:paraId="3145BC07" w14:textId="4211B778" w:rsidR="00810E77" w:rsidRDefault="00810E77" w:rsidP="00EF10C2">
      <w:pPr>
        <w:pStyle w:val="ListParagraph"/>
        <w:numPr>
          <w:ilvl w:val="0"/>
          <w:numId w:val="8"/>
        </w:numPr>
        <w:spacing w:line="276" w:lineRule="auto"/>
        <w:ind w:left="360"/>
        <w:jc w:val="both"/>
        <w:rPr>
          <w:rFonts w:ascii="Arial" w:hAnsi="Arial" w:cs="Arial"/>
          <w:sz w:val="24"/>
          <w:szCs w:val="24"/>
          <w:lang w:val="en-CA"/>
        </w:rPr>
      </w:pPr>
      <w:r>
        <w:rPr>
          <w:rFonts w:ascii="Arial" w:hAnsi="Arial" w:cs="Arial"/>
          <w:sz w:val="24"/>
          <w:szCs w:val="24"/>
          <w:lang w:val="en-CA"/>
        </w:rPr>
        <w:t>Harris J.A. explained this analysis at para. 38:</w:t>
      </w:r>
    </w:p>
    <w:p w14:paraId="68357A46" w14:textId="77777777" w:rsidR="00810E77" w:rsidRPr="00810E77" w:rsidRDefault="00810E77" w:rsidP="00810E77">
      <w:pPr>
        <w:pStyle w:val="ListParagraph"/>
        <w:rPr>
          <w:rFonts w:ascii="Arial" w:hAnsi="Arial" w:cs="Arial"/>
          <w:sz w:val="24"/>
          <w:szCs w:val="24"/>
          <w:lang w:val="en-CA"/>
        </w:rPr>
      </w:pPr>
    </w:p>
    <w:p w14:paraId="3CB84F89" w14:textId="7AFC3497" w:rsidR="00810E77" w:rsidRPr="00810E77" w:rsidRDefault="00810E77" w:rsidP="00810E77">
      <w:pPr>
        <w:spacing w:line="276" w:lineRule="auto"/>
        <w:ind w:left="720" w:right="720"/>
        <w:jc w:val="both"/>
        <w:rPr>
          <w:rFonts w:ascii="Arial" w:hAnsi="Arial" w:cs="Arial"/>
          <w:i/>
          <w:szCs w:val="24"/>
          <w:lang w:val="en-CA"/>
        </w:rPr>
      </w:pPr>
      <w:r w:rsidRPr="00810E77">
        <w:rPr>
          <w:rFonts w:ascii="Arial" w:hAnsi="Arial" w:cs="Arial"/>
          <w:i/>
          <w:szCs w:val="24"/>
          <w:lang w:val="en-CA"/>
        </w:rPr>
        <w:t>38      Whether a through driver is dominant turns on whether the driver's vehicle is an immediate hazard at the material time, not why it is an immediate hazard. Dominance identifies who must yield the right of way. One consequence of this analysis is that negligence on the part of a through driver does not disqualify that driver as the dominant driver. The through driver remains dominant, even though their conduct may be negligent. Indeed, the through driver's fault may be greater than the servient driver's fault. In other words, a through driver may be an immediate hazard even though that driver is speeding and given her speed would have to take sudden action to avoid the threat of a collision if the left turning driver did not yield the right of way. The correct analysis is to recognize that the through driver is breaching his or her common law and perhaps statutory obligations and to address the issue as one of apportioning fault, not to reclassify the through driver as servient based on the degree to which the through driver is in breach of her obligations.</w:t>
      </w:r>
    </w:p>
    <w:p w14:paraId="43AB621D" w14:textId="77777777" w:rsidR="00810E77" w:rsidRPr="00810E77" w:rsidRDefault="00810E77" w:rsidP="00810E77">
      <w:pPr>
        <w:pStyle w:val="ListParagraph"/>
        <w:rPr>
          <w:rFonts w:ascii="Arial" w:hAnsi="Arial" w:cs="Arial"/>
          <w:sz w:val="24"/>
          <w:szCs w:val="24"/>
          <w:lang w:val="en-CA"/>
        </w:rPr>
      </w:pPr>
    </w:p>
    <w:p w14:paraId="38EDA5A8" w14:textId="64E577B1" w:rsidR="00810E77" w:rsidRPr="00395000" w:rsidRDefault="00810E77" w:rsidP="00EF10C2">
      <w:pPr>
        <w:pStyle w:val="ListParagraph"/>
        <w:numPr>
          <w:ilvl w:val="0"/>
          <w:numId w:val="8"/>
        </w:numPr>
        <w:spacing w:line="276" w:lineRule="auto"/>
        <w:ind w:left="360"/>
        <w:jc w:val="both"/>
        <w:rPr>
          <w:rFonts w:ascii="Arial" w:hAnsi="Arial" w:cs="Arial"/>
          <w:sz w:val="24"/>
          <w:szCs w:val="24"/>
          <w:lang w:val="en-CA"/>
        </w:rPr>
      </w:pPr>
      <w:r>
        <w:rPr>
          <w:rFonts w:ascii="Arial" w:hAnsi="Arial" w:cs="Arial"/>
          <w:sz w:val="24"/>
          <w:szCs w:val="24"/>
          <w:lang w:val="en-CA"/>
        </w:rPr>
        <w:t xml:space="preserve">In applying this analysis to the facts of the case, Harris J.A. was unable to find any fault with the trial judge’s apportionment of liability, and the appeal was dismissed. </w:t>
      </w:r>
    </w:p>
    <w:p w14:paraId="639EA6DC" w14:textId="77777777" w:rsidR="00652F6F" w:rsidRDefault="00652F6F" w:rsidP="00DB7C66">
      <w:pPr>
        <w:spacing w:line="276" w:lineRule="auto"/>
        <w:jc w:val="both"/>
        <w:rPr>
          <w:rFonts w:ascii="Arial" w:hAnsi="Arial" w:cs="Arial"/>
          <w:b/>
          <w:color w:val="000000"/>
          <w:sz w:val="24"/>
          <w:szCs w:val="24"/>
          <w:u w:val="single"/>
          <w:lang w:val="en-GB"/>
        </w:rPr>
      </w:pPr>
    </w:p>
    <w:p w14:paraId="72AD9F52" w14:textId="1FC8121A" w:rsidR="00DB7C66" w:rsidRPr="00DB7C66" w:rsidRDefault="00DB7C66" w:rsidP="00C90492">
      <w:pPr>
        <w:keepNext/>
        <w:keepLines/>
        <w:pageBreakBefore/>
        <w:spacing w:line="276" w:lineRule="auto"/>
        <w:ind w:firstLine="357"/>
        <w:jc w:val="both"/>
        <w:rPr>
          <w:rFonts w:ascii="Arial" w:hAnsi="Arial" w:cs="Arial"/>
          <w:b/>
          <w:color w:val="000000"/>
          <w:sz w:val="24"/>
          <w:szCs w:val="24"/>
          <w:u w:val="single"/>
          <w:lang w:val="en-GB"/>
        </w:rPr>
      </w:pPr>
      <w:r w:rsidRPr="00DB7C66">
        <w:rPr>
          <w:rFonts w:ascii="Arial" w:hAnsi="Arial" w:cs="Arial"/>
          <w:b/>
          <w:color w:val="000000"/>
          <w:sz w:val="24"/>
          <w:szCs w:val="24"/>
          <w:u w:val="single"/>
          <w:lang w:val="en-GB"/>
        </w:rPr>
        <w:t>Rear-end collisions</w:t>
      </w:r>
      <w:r w:rsidR="00756FC0">
        <w:rPr>
          <w:rFonts w:ascii="Arial" w:hAnsi="Arial" w:cs="Arial"/>
          <w:b/>
          <w:color w:val="000000"/>
          <w:sz w:val="24"/>
          <w:szCs w:val="24"/>
          <w:u w:val="single"/>
          <w:lang w:val="en-GB"/>
        </w:rPr>
        <w:t xml:space="preserve"> / Agony of the collision</w:t>
      </w:r>
    </w:p>
    <w:p w14:paraId="5F02188C" w14:textId="77777777" w:rsidR="009F2D3F" w:rsidRPr="009F2D3F" w:rsidRDefault="00336396" w:rsidP="009F2D3F">
      <w:pPr>
        <w:pStyle w:val="ListParagraph"/>
        <w:numPr>
          <w:ilvl w:val="0"/>
          <w:numId w:val="8"/>
        </w:numPr>
        <w:tabs>
          <w:tab w:val="left" w:pos="810"/>
        </w:tabs>
        <w:spacing w:line="276" w:lineRule="auto"/>
        <w:ind w:left="360"/>
        <w:jc w:val="both"/>
        <w:rPr>
          <w:rFonts w:ascii="Arial" w:hAnsi="Arial" w:cs="Arial"/>
          <w:b/>
          <w:sz w:val="28"/>
          <w:szCs w:val="24"/>
          <w:u w:val="single"/>
          <w:lang w:val="en-CA"/>
        </w:rPr>
      </w:pPr>
      <w:r>
        <w:rPr>
          <w:rFonts w:ascii="Arial" w:hAnsi="Arial" w:cs="Arial"/>
          <w:sz w:val="24"/>
          <w:szCs w:val="24"/>
          <w:lang w:val="en-CA"/>
        </w:rPr>
        <w:t xml:space="preserve">Under s.162(1) of the </w:t>
      </w:r>
      <w:r>
        <w:rPr>
          <w:rFonts w:ascii="Arial" w:hAnsi="Arial" w:cs="Arial"/>
          <w:i/>
          <w:sz w:val="24"/>
          <w:szCs w:val="24"/>
          <w:lang w:val="en-CA"/>
        </w:rPr>
        <w:t xml:space="preserve">Motor Vehicle Act, </w:t>
      </w:r>
      <w:r>
        <w:rPr>
          <w:rFonts w:ascii="Arial" w:hAnsi="Arial" w:cs="Arial"/>
          <w:sz w:val="24"/>
          <w:szCs w:val="24"/>
          <w:lang w:val="en-CA"/>
        </w:rPr>
        <w:t xml:space="preserve">a driver of a vehicle </w:t>
      </w:r>
      <w:r w:rsidRPr="00336396">
        <w:rPr>
          <w:rFonts w:ascii="Arial" w:hAnsi="Arial" w:cs="Arial"/>
          <w:sz w:val="24"/>
          <w:szCs w:val="24"/>
          <w:lang w:val="en-CA"/>
        </w:rPr>
        <w:t>must not cause or permit the vehicle to follow another vehicle more closely than is reasonable and prudent, having due regard for the speed of the vehicles and the amount and nature of traffic on and the condition of the highway.</w:t>
      </w:r>
    </w:p>
    <w:p w14:paraId="0D2048D5" w14:textId="77777777" w:rsidR="009F2D3F" w:rsidRPr="009F2D3F" w:rsidRDefault="009F2D3F" w:rsidP="009F2D3F">
      <w:pPr>
        <w:pStyle w:val="ListParagraph"/>
        <w:tabs>
          <w:tab w:val="left" w:pos="810"/>
        </w:tabs>
        <w:spacing w:line="276" w:lineRule="auto"/>
        <w:ind w:left="360"/>
        <w:jc w:val="both"/>
        <w:rPr>
          <w:rFonts w:ascii="Arial" w:hAnsi="Arial" w:cs="Arial"/>
          <w:b/>
          <w:sz w:val="28"/>
          <w:szCs w:val="24"/>
          <w:u w:val="single"/>
          <w:lang w:val="en-CA"/>
        </w:rPr>
      </w:pPr>
    </w:p>
    <w:p w14:paraId="0759D2D1" w14:textId="70A03660" w:rsidR="00943477" w:rsidRPr="009F2D3F" w:rsidRDefault="00336396" w:rsidP="009F2D3F">
      <w:pPr>
        <w:pStyle w:val="ListParagraph"/>
        <w:numPr>
          <w:ilvl w:val="0"/>
          <w:numId w:val="8"/>
        </w:numPr>
        <w:tabs>
          <w:tab w:val="left" w:pos="810"/>
        </w:tabs>
        <w:spacing w:line="276" w:lineRule="auto"/>
        <w:ind w:left="360"/>
        <w:jc w:val="both"/>
        <w:rPr>
          <w:rFonts w:ascii="Arial" w:hAnsi="Arial" w:cs="Arial"/>
          <w:b/>
          <w:color w:val="0070C0"/>
          <w:sz w:val="28"/>
          <w:szCs w:val="24"/>
          <w:u w:val="single"/>
          <w:lang w:val="en-CA"/>
        </w:rPr>
      </w:pPr>
      <w:r w:rsidRPr="009F2D3F">
        <w:rPr>
          <w:rFonts w:ascii="Arial" w:hAnsi="Arial" w:cs="Arial"/>
          <w:color w:val="000000"/>
          <w:sz w:val="24"/>
          <w:szCs w:val="24"/>
          <w:lang w:val="en-GB"/>
        </w:rPr>
        <w:t xml:space="preserve">This statutory obligation supplements the common law duty of all highway users to operate their vehicle at the appropriate standard of care. </w:t>
      </w:r>
      <w:r w:rsidR="00943477" w:rsidRPr="009F2D3F">
        <w:rPr>
          <w:rFonts w:ascii="Arial" w:hAnsi="Arial" w:cs="Arial"/>
          <w:color w:val="000000"/>
          <w:sz w:val="24"/>
          <w:szCs w:val="24"/>
          <w:lang w:val="en-GB"/>
        </w:rPr>
        <w:t>In the context of rear-end collisions, the result of this interaction of statutory obligations and common law jurisprudence is that there is a presumption of negligence on the part of the following vehicle in rear-end collisions</w:t>
      </w:r>
      <w:r w:rsidR="00245678" w:rsidRPr="009F2D3F">
        <w:rPr>
          <w:rFonts w:ascii="Arial" w:hAnsi="Arial" w:cs="Arial"/>
          <w:color w:val="000000"/>
          <w:sz w:val="24"/>
          <w:szCs w:val="24"/>
          <w:lang w:val="en-GB"/>
        </w:rPr>
        <w:t>, a position that has been endorsed by the BCCA in</w:t>
      </w:r>
      <w:r w:rsidR="00245678" w:rsidRPr="00245678">
        <w:t xml:space="preserve"> </w:t>
      </w:r>
      <w:r w:rsidR="00245678" w:rsidRPr="009F2D3F">
        <w:rPr>
          <w:rFonts w:ascii="Arial" w:hAnsi="Arial" w:cs="Arial"/>
          <w:i/>
          <w:color w:val="000000"/>
          <w:sz w:val="24"/>
          <w:szCs w:val="24"/>
          <w:lang w:val="en-GB"/>
        </w:rPr>
        <w:t>Skinner v. Fu</w:t>
      </w:r>
      <w:r w:rsidR="00245678" w:rsidRPr="009F2D3F">
        <w:rPr>
          <w:rFonts w:ascii="Arial" w:hAnsi="Arial" w:cs="Arial"/>
          <w:color w:val="000000"/>
          <w:sz w:val="24"/>
          <w:szCs w:val="24"/>
          <w:lang w:val="en-GB"/>
        </w:rPr>
        <w:t xml:space="preserve">, </w:t>
      </w:r>
      <w:hyperlink r:id="rId83" w:history="1">
        <w:r w:rsidR="00245678" w:rsidRPr="009F2D3F">
          <w:rPr>
            <w:rStyle w:val="Hyperlink"/>
            <w:rFonts w:ascii="Arial" w:hAnsi="Arial" w:cs="Arial"/>
            <w:sz w:val="24"/>
            <w:szCs w:val="24"/>
            <w:u w:val="none"/>
            <w:lang w:val="en-GB"/>
          </w:rPr>
          <w:t>2010 BCCA 321</w:t>
        </w:r>
      </w:hyperlink>
      <w:r w:rsidR="00245678" w:rsidRPr="009F2D3F">
        <w:rPr>
          <w:rFonts w:ascii="Arial" w:hAnsi="Arial" w:cs="Arial"/>
          <w:color w:val="000000"/>
          <w:sz w:val="24"/>
          <w:szCs w:val="24"/>
          <w:lang w:val="en-GB"/>
        </w:rPr>
        <w:t xml:space="preserve"> at para 23</w:t>
      </w:r>
      <w:r w:rsidR="009F2D3F" w:rsidRPr="009F2D3F">
        <w:rPr>
          <w:rFonts w:ascii="Arial" w:hAnsi="Arial" w:cs="Arial"/>
          <w:color w:val="000000"/>
          <w:sz w:val="24"/>
          <w:szCs w:val="24"/>
          <w:lang w:val="en-GB"/>
        </w:rPr>
        <w:t xml:space="preserve"> and in </w:t>
      </w:r>
      <w:r w:rsidR="009F2D3F" w:rsidRPr="00C90492">
        <w:rPr>
          <w:rFonts w:ascii="Arial" w:hAnsi="Arial" w:cs="Arial"/>
          <w:i/>
          <w:iCs/>
          <w:sz w:val="24"/>
          <w:szCs w:val="24"/>
          <w:lang w:val="en-GB"/>
        </w:rPr>
        <w:t>Smith v. Narula</w:t>
      </w:r>
      <w:r w:rsidR="009F2D3F" w:rsidRPr="00C90492">
        <w:rPr>
          <w:rFonts w:ascii="Arial" w:hAnsi="Arial" w:cs="Arial"/>
          <w:sz w:val="24"/>
          <w:szCs w:val="24"/>
          <w:lang w:val="en-GB"/>
        </w:rPr>
        <w:t xml:space="preserve">, 2021 BCSC 1721 at para 65. </w:t>
      </w:r>
    </w:p>
    <w:p w14:paraId="10D8EF1D" w14:textId="77777777" w:rsidR="00943477" w:rsidRPr="00943477" w:rsidRDefault="00943477" w:rsidP="00943477">
      <w:pPr>
        <w:pStyle w:val="ListParagraph"/>
        <w:rPr>
          <w:rFonts w:ascii="Arial" w:hAnsi="Arial" w:cs="Arial"/>
          <w:color w:val="000000"/>
          <w:sz w:val="24"/>
          <w:szCs w:val="24"/>
          <w:lang w:val="en-GB"/>
        </w:rPr>
      </w:pPr>
    </w:p>
    <w:p w14:paraId="111104B4" w14:textId="2D7103A4" w:rsidR="00485E20" w:rsidRPr="00485E20" w:rsidRDefault="00241D41" w:rsidP="00EF10C2">
      <w:pPr>
        <w:pStyle w:val="ListParagraph"/>
        <w:numPr>
          <w:ilvl w:val="0"/>
          <w:numId w:val="8"/>
        </w:numPr>
        <w:tabs>
          <w:tab w:val="left" w:pos="810"/>
        </w:tabs>
        <w:spacing w:line="276" w:lineRule="auto"/>
        <w:ind w:left="360"/>
        <w:jc w:val="both"/>
        <w:rPr>
          <w:rFonts w:ascii="Arial" w:hAnsi="Arial" w:cs="Arial"/>
          <w:color w:val="000000"/>
          <w:sz w:val="24"/>
          <w:szCs w:val="24"/>
          <w:lang w:val="en-GB"/>
        </w:rPr>
      </w:pPr>
      <w:r>
        <w:rPr>
          <w:rFonts w:ascii="Arial" w:hAnsi="Arial" w:cs="Arial"/>
          <w:color w:val="000000"/>
          <w:sz w:val="24"/>
          <w:szCs w:val="24"/>
          <w:lang w:val="en-GB"/>
        </w:rPr>
        <w:t>The interaction between the statutory and common law duty of care in relation to rear-end collisions</w:t>
      </w:r>
      <w:r w:rsidR="00485E20" w:rsidRPr="00485E20">
        <w:rPr>
          <w:rFonts w:ascii="Arial" w:hAnsi="Arial" w:cs="Arial"/>
          <w:color w:val="000000"/>
          <w:sz w:val="24"/>
          <w:szCs w:val="24"/>
          <w:lang w:val="en-GB"/>
        </w:rPr>
        <w:t xml:space="preserve"> was </w:t>
      </w:r>
      <w:r>
        <w:rPr>
          <w:rFonts w:ascii="Arial" w:hAnsi="Arial" w:cs="Arial"/>
          <w:color w:val="000000"/>
          <w:sz w:val="24"/>
          <w:szCs w:val="24"/>
          <w:lang w:val="en-GB"/>
        </w:rPr>
        <w:t xml:space="preserve">explained </w:t>
      </w:r>
      <w:r w:rsidR="00485E20" w:rsidRPr="00485E20">
        <w:rPr>
          <w:rFonts w:ascii="Arial" w:hAnsi="Arial" w:cs="Arial"/>
          <w:color w:val="000000"/>
          <w:sz w:val="24"/>
          <w:szCs w:val="24"/>
          <w:lang w:val="en-GB"/>
        </w:rPr>
        <w:t xml:space="preserve">in </w:t>
      </w:r>
      <w:r w:rsidR="00485E20" w:rsidRPr="00485E20">
        <w:rPr>
          <w:rFonts w:ascii="Arial" w:hAnsi="Arial" w:cs="Arial"/>
          <w:i/>
          <w:color w:val="000000"/>
          <w:sz w:val="24"/>
          <w:szCs w:val="24"/>
          <w:lang w:val="en-GB"/>
        </w:rPr>
        <w:t>Wallman v John Doe</w:t>
      </w:r>
      <w:r w:rsidR="00485E20" w:rsidRPr="00485E20">
        <w:rPr>
          <w:rFonts w:ascii="Arial" w:hAnsi="Arial" w:cs="Arial"/>
          <w:color w:val="000000"/>
          <w:sz w:val="24"/>
          <w:szCs w:val="24"/>
          <w:lang w:val="en-GB"/>
        </w:rPr>
        <w:t xml:space="preserve">, </w:t>
      </w:r>
      <w:hyperlink r:id="rId84" w:history="1">
        <w:r w:rsidR="00485E20" w:rsidRPr="00943477">
          <w:rPr>
            <w:rStyle w:val="Hyperlink"/>
            <w:rFonts w:ascii="Arial" w:hAnsi="Arial" w:cs="Arial"/>
            <w:sz w:val="24"/>
            <w:szCs w:val="24"/>
            <w:u w:val="none"/>
            <w:lang w:val="en-GB"/>
          </w:rPr>
          <w:t>2014 BCSC 79</w:t>
        </w:r>
      </w:hyperlink>
      <w:r w:rsidR="00485E20" w:rsidRPr="00485E20">
        <w:rPr>
          <w:rFonts w:ascii="Arial" w:hAnsi="Arial" w:cs="Arial"/>
          <w:color w:val="000000"/>
          <w:sz w:val="24"/>
          <w:szCs w:val="24"/>
          <w:lang w:val="en-GB"/>
        </w:rPr>
        <w:t xml:space="preserve"> at paras 409</w:t>
      </w:r>
      <w:r w:rsidR="00485E20">
        <w:rPr>
          <w:rFonts w:ascii="Arial" w:hAnsi="Arial" w:cs="Arial"/>
          <w:color w:val="000000"/>
          <w:sz w:val="24"/>
          <w:szCs w:val="24"/>
          <w:lang w:val="en-GB"/>
        </w:rPr>
        <w:t>-411</w:t>
      </w:r>
      <w:r w:rsidR="00485E20" w:rsidRPr="00485E20">
        <w:rPr>
          <w:rFonts w:ascii="Arial" w:hAnsi="Arial" w:cs="Arial"/>
          <w:color w:val="000000"/>
          <w:sz w:val="24"/>
          <w:szCs w:val="24"/>
          <w:lang w:val="en-GB"/>
        </w:rPr>
        <w:t>:</w:t>
      </w:r>
    </w:p>
    <w:p w14:paraId="1A6ADC0A" w14:textId="77777777" w:rsidR="00485E20" w:rsidRPr="00485E20" w:rsidRDefault="00485E20" w:rsidP="00485E20">
      <w:pPr>
        <w:pStyle w:val="ListParagraph"/>
        <w:rPr>
          <w:rFonts w:ascii="Arial" w:hAnsi="Arial" w:cs="Arial"/>
          <w:color w:val="000000"/>
          <w:sz w:val="24"/>
          <w:szCs w:val="24"/>
          <w:lang w:val="en-GB"/>
        </w:rPr>
      </w:pPr>
    </w:p>
    <w:p w14:paraId="05FB1988" w14:textId="1F76B1C7" w:rsidR="00485E20" w:rsidRDefault="00485E20" w:rsidP="00485E20">
      <w:pPr>
        <w:tabs>
          <w:tab w:val="left" w:pos="810"/>
        </w:tabs>
        <w:spacing w:line="276" w:lineRule="auto"/>
        <w:ind w:left="720" w:right="720"/>
        <w:jc w:val="both"/>
        <w:rPr>
          <w:rFonts w:ascii="Arial" w:hAnsi="Arial" w:cs="Arial"/>
          <w:i/>
          <w:color w:val="000000"/>
          <w:szCs w:val="24"/>
          <w:lang w:val="en-GB"/>
        </w:rPr>
      </w:pPr>
      <w:r w:rsidRPr="00485E20">
        <w:rPr>
          <w:rFonts w:ascii="Arial" w:hAnsi="Arial" w:cs="Arial"/>
          <w:i/>
          <w:color w:val="000000"/>
          <w:szCs w:val="24"/>
          <w:lang w:val="en-GB"/>
        </w:rPr>
        <w:t xml:space="preserve">409      When one vehicle rear ends another, the onus is on the rear-ending vehicle to demonstrate the absence of negligence: Robbie v. King, 2003 BCSC 1553 (B.C. S.C.), at para. 13; Cannon v. </w:t>
      </w:r>
      <w:proofErr w:type="spellStart"/>
      <w:r w:rsidRPr="00485E20">
        <w:rPr>
          <w:rFonts w:ascii="Arial" w:hAnsi="Arial" w:cs="Arial"/>
          <w:i/>
          <w:color w:val="000000"/>
          <w:szCs w:val="24"/>
          <w:lang w:val="en-GB"/>
        </w:rPr>
        <w:t>Clouda</w:t>
      </w:r>
      <w:proofErr w:type="spellEnd"/>
      <w:r w:rsidRPr="00485E20">
        <w:rPr>
          <w:rFonts w:ascii="Arial" w:hAnsi="Arial" w:cs="Arial"/>
          <w:i/>
          <w:color w:val="000000"/>
          <w:szCs w:val="24"/>
          <w:lang w:val="en-GB"/>
        </w:rPr>
        <w:t xml:space="preserve">, 2002 BCPC 26 (B.C. Prov. Ct.) at para. 9; Cue v. </w:t>
      </w:r>
      <w:proofErr w:type="spellStart"/>
      <w:r w:rsidRPr="00485E20">
        <w:rPr>
          <w:rFonts w:ascii="Arial" w:hAnsi="Arial" w:cs="Arial"/>
          <w:i/>
          <w:color w:val="000000"/>
          <w:szCs w:val="24"/>
          <w:lang w:val="en-GB"/>
        </w:rPr>
        <w:t>Breitkreuz</w:t>
      </w:r>
      <w:proofErr w:type="spellEnd"/>
      <w:r w:rsidRPr="00485E20">
        <w:rPr>
          <w:rFonts w:ascii="Arial" w:hAnsi="Arial" w:cs="Arial"/>
          <w:i/>
          <w:color w:val="000000"/>
          <w:szCs w:val="24"/>
          <w:lang w:val="en-GB"/>
        </w:rPr>
        <w:t>, 2010 BCSC 617 (B.C. S.C.) at para. 15; Stanikzai v. Bola, 2012 BCSC 846 (B.C. S.C.) at para. 7.</w:t>
      </w:r>
    </w:p>
    <w:p w14:paraId="278EE0B5" w14:textId="77777777" w:rsidR="00485E20" w:rsidRPr="00485E20" w:rsidRDefault="00485E20" w:rsidP="00485E20">
      <w:pPr>
        <w:tabs>
          <w:tab w:val="left" w:pos="810"/>
        </w:tabs>
        <w:spacing w:line="276" w:lineRule="auto"/>
        <w:ind w:left="720" w:right="720"/>
        <w:jc w:val="both"/>
        <w:rPr>
          <w:rFonts w:ascii="Arial" w:hAnsi="Arial" w:cs="Arial"/>
          <w:i/>
          <w:color w:val="000000"/>
          <w:szCs w:val="24"/>
          <w:lang w:val="en-GB"/>
        </w:rPr>
      </w:pPr>
    </w:p>
    <w:p w14:paraId="0D0F20D2" w14:textId="00F24C01" w:rsidR="00485E20" w:rsidRDefault="00485E20" w:rsidP="00485E20">
      <w:pPr>
        <w:tabs>
          <w:tab w:val="left" w:pos="810"/>
        </w:tabs>
        <w:spacing w:line="276" w:lineRule="auto"/>
        <w:ind w:left="720" w:right="720"/>
        <w:jc w:val="both"/>
        <w:rPr>
          <w:rFonts w:ascii="Arial" w:hAnsi="Arial" w:cs="Arial"/>
          <w:i/>
          <w:color w:val="000000"/>
          <w:szCs w:val="24"/>
          <w:lang w:val="en-GB"/>
        </w:rPr>
      </w:pPr>
      <w:r w:rsidRPr="00485E20">
        <w:rPr>
          <w:rFonts w:ascii="Arial" w:hAnsi="Arial" w:cs="Arial"/>
          <w:i/>
          <w:color w:val="000000"/>
          <w:szCs w:val="24"/>
          <w:lang w:val="en-GB"/>
        </w:rPr>
        <w:t>410      This is because the following driver owes a duty to drive at a distance from the leading vehicle that allows reasonably for the speed, the traffic and the road conditions: Barrie v. Marshall, 2010 BCSC 981 (B.C. S.C.), at paras. 23-24; Rai v. Fowler, 2007 BCSC 1678 (B.C. S.C. [In Chambers]), at para. 29. This duty is codified in ss. 144 and 162 of the Motor Vehicle Act.</w:t>
      </w:r>
    </w:p>
    <w:p w14:paraId="6A5A77DC" w14:textId="77777777" w:rsidR="00485E20" w:rsidRPr="00485E20" w:rsidRDefault="00485E20" w:rsidP="00485E20">
      <w:pPr>
        <w:tabs>
          <w:tab w:val="left" w:pos="810"/>
        </w:tabs>
        <w:spacing w:line="276" w:lineRule="auto"/>
        <w:ind w:left="720" w:right="720"/>
        <w:jc w:val="both"/>
        <w:rPr>
          <w:rFonts w:ascii="Arial" w:hAnsi="Arial" w:cs="Arial"/>
          <w:i/>
          <w:color w:val="000000"/>
          <w:szCs w:val="24"/>
          <w:lang w:val="en-GB"/>
        </w:rPr>
      </w:pPr>
    </w:p>
    <w:p w14:paraId="746A21C0" w14:textId="186AC46D" w:rsidR="00060BD8" w:rsidRPr="00485E20" w:rsidRDefault="00485E20" w:rsidP="00485E20">
      <w:pPr>
        <w:tabs>
          <w:tab w:val="left" w:pos="810"/>
        </w:tabs>
        <w:spacing w:line="276" w:lineRule="auto"/>
        <w:ind w:left="720" w:right="720"/>
        <w:jc w:val="both"/>
        <w:rPr>
          <w:rFonts w:ascii="Arial" w:hAnsi="Arial" w:cs="Arial"/>
          <w:i/>
          <w:color w:val="000000"/>
          <w:szCs w:val="24"/>
          <w:lang w:val="en-GB"/>
        </w:rPr>
      </w:pPr>
      <w:r w:rsidRPr="00485E20">
        <w:rPr>
          <w:rFonts w:ascii="Arial" w:hAnsi="Arial" w:cs="Arial"/>
          <w:i/>
          <w:color w:val="000000"/>
          <w:szCs w:val="24"/>
          <w:lang w:val="en-GB"/>
        </w:rPr>
        <w:t>411      Driving with due care and attention assumes being on the lookout for the unexpected: Power v. White, 2010 BCSC 1084 (B.C. S.C.) at para. 28, aff'd 2012 BCCA 197 (B.C. C.A.).</w:t>
      </w:r>
    </w:p>
    <w:p w14:paraId="62CBCDCC" w14:textId="77777777" w:rsidR="00DB7C66" w:rsidRDefault="00DB7C66" w:rsidP="000A3DC2">
      <w:pPr>
        <w:pStyle w:val="ListParagraph"/>
        <w:keepNext/>
        <w:keepLines/>
        <w:spacing w:line="276" w:lineRule="auto"/>
        <w:ind w:left="0"/>
        <w:contextualSpacing w:val="0"/>
        <w:jc w:val="both"/>
        <w:rPr>
          <w:rFonts w:ascii="Arial" w:hAnsi="Arial" w:cs="Arial"/>
          <w:b/>
          <w:sz w:val="24"/>
          <w:szCs w:val="24"/>
          <w:u w:val="single"/>
          <w:lang w:val="en-CA"/>
        </w:rPr>
      </w:pPr>
    </w:p>
    <w:p w14:paraId="40358629" w14:textId="7073ABBB" w:rsidR="00943477" w:rsidRPr="00673A5F" w:rsidRDefault="00943477" w:rsidP="0055073C">
      <w:pPr>
        <w:pStyle w:val="ListParagraph"/>
        <w:keepNext/>
        <w:keepLines/>
        <w:spacing w:line="276" w:lineRule="auto"/>
        <w:ind w:left="0" w:firstLine="360"/>
        <w:contextualSpacing w:val="0"/>
        <w:jc w:val="both"/>
        <w:rPr>
          <w:rFonts w:ascii="Arial" w:hAnsi="Arial" w:cs="Arial"/>
          <w:b/>
          <w:sz w:val="24"/>
          <w:szCs w:val="24"/>
          <w:lang w:val="en-CA"/>
        </w:rPr>
      </w:pPr>
      <w:r w:rsidRPr="00673A5F">
        <w:rPr>
          <w:rFonts w:ascii="Arial" w:hAnsi="Arial" w:cs="Arial"/>
          <w:b/>
          <w:i/>
          <w:sz w:val="24"/>
          <w:szCs w:val="24"/>
          <w:lang w:val="en-CA"/>
        </w:rPr>
        <w:t xml:space="preserve">Uy v. Dhillon, </w:t>
      </w:r>
      <w:hyperlink r:id="rId85" w:history="1">
        <w:r w:rsidRPr="00673A5F">
          <w:rPr>
            <w:rStyle w:val="Hyperlink"/>
            <w:rFonts w:ascii="Arial" w:hAnsi="Arial" w:cs="Arial"/>
            <w:b/>
            <w:sz w:val="24"/>
            <w:szCs w:val="24"/>
            <w:u w:val="none"/>
            <w:lang w:val="en-CA"/>
          </w:rPr>
          <w:t>2019 BCSC 1136</w:t>
        </w:r>
      </w:hyperlink>
      <w:r w:rsidR="00673A5F" w:rsidRPr="00673A5F">
        <w:rPr>
          <w:rStyle w:val="Hyperlink"/>
          <w:rFonts w:ascii="Arial" w:hAnsi="Arial" w:cs="Arial"/>
          <w:b/>
          <w:sz w:val="24"/>
          <w:szCs w:val="24"/>
          <w:u w:val="none"/>
          <w:lang w:val="en-CA"/>
        </w:rPr>
        <w:t xml:space="preserve">, </w:t>
      </w:r>
      <w:r w:rsidR="00673A5F" w:rsidRPr="00673A5F">
        <w:rPr>
          <w:rStyle w:val="Hyperlink"/>
          <w:rFonts w:ascii="Arial" w:hAnsi="Arial" w:cs="Arial"/>
          <w:b/>
          <w:color w:val="auto"/>
          <w:sz w:val="24"/>
          <w:szCs w:val="24"/>
          <w:u w:val="none"/>
          <w:lang w:val="en-CA"/>
        </w:rPr>
        <w:t>aff’</w:t>
      </w:r>
      <w:r w:rsidR="00673A5F">
        <w:rPr>
          <w:rStyle w:val="Hyperlink"/>
          <w:rFonts w:ascii="Arial" w:hAnsi="Arial" w:cs="Arial"/>
          <w:b/>
          <w:color w:val="auto"/>
          <w:sz w:val="24"/>
          <w:szCs w:val="24"/>
          <w:u w:val="none"/>
          <w:lang w:val="en-CA"/>
        </w:rPr>
        <w:t>d</w:t>
      </w:r>
      <w:hyperlink r:id="rId86" w:history="1">
        <w:r w:rsidR="00673A5F" w:rsidRPr="00673A5F">
          <w:rPr>
            <w:rStyle w:val="Hyperlink"/>
            <w:rFonts w:ascii="Arial" w:hAnsi="Arial" w:cs="Arial"/>
            <w:sz w:val="24"/>
            <w:szCs w:val="24"/>
            <w:u w:val="none"/>
            <w:lang w:val="en-CA"/>
          </w:rPr>
          <w:t xml:space="preserve"> </w:t>
        </w:r>
        <w:r w:rsidR="00673A5F" w:rsidRPr="00673A5F">
          <w:rPr>
            <w:rStyle w:val="Hyperlink"/>
            <w:rFonts w:ascii="Arial" w:hAnsi="Arial" w:cs="Arial"/>
            <w:b/>
            <w:sz w:val="24"/>
            <w:szCs w:val="24"/>
            <w:u w:val="none"/>
            <w:lang w:val="en-CA"/>
          </w:rPr>
          <w:t>2020 BCCA 163</w:t>
        </w:r>
      </w:hyperlink>
    </w:p>
    <w:p w14:paraId="67ACCD7C" w14:textId="77777777" w:rsidR="003766C9" w:rsidRPr="0019776A" w:rsidRDefault="003766C9" w:rsidP="003766C9">
      <w:pPr>
        <w:pStyle w:val="ListParagraph"/>
        <w:rPr>
          <w:rFonts w:ascii="Arial" w:hAnsi="Arial" w:cs="Arial"/>
          <w:sz w:val="24"/>
          <w:szCs w:val="24"/>
          <w:lang w:val="en-CA"/>
        </w:rPr>
      </w:pPr>
    </w:p>
    <w:p w14:paraId="6B5401BC" w14:textId="57E99646" w:rsidR="00D929D7" w:rsidRPr="0019776A" w:rsidRDefault="003766C9" w:rsidP="00EF10C2">
      <w:pPr>
        <w:pStyle w:val="ListParagraph"/>
        <w:numPr>
          <w:ilvl w:val="0"/>
          <w:numId w:val="8"/>
        </w:numPr>
        <w:spacing w:line="276" w:lineRule="auto"/>
        <w:ind w:left="360"/>
        <w:jc w:val="both"/>
        <w:rPr>
          <w:rFonts w:ascii="Arial" w:hAnsi="Arial" w:cs="Arial"/>
          <w:sz w:val="24"/>
          <w:szCs w:val="24"/>
          <w:lang w:val="en-CA"/>
        </w:rPr>
      </w:pPr>
      <w:r w:rsidRPr="0019776A">
        <w:rPr>
          <w:rFonts w:ascii="Arial" w:hAnsi="Arial" w:cs="Arial"/>
          <w:sz w:val="24"/>
          <w:szCs w:val="24"/>
          <w:lang w:val="en-CA"/>
        </w:rPr>
        <w:t xml:space="preserve">On January 31, 2014 at 2:30 a.m., </w:t>
      </w:r>
      <w:proofErr w:type="spellStart"/>
      <w:r w:rsidR="008F2872" w:rsidRPr="0019776A">
        <w:rPr>
          <w:rFonts w:ascii="Arial" w:hAnsi="Arial" w:cs="Arial"/>
          <w:sz w:val="24"/>
          <w:szCs w:val="24"/>
          <w:lang w:val="en-CA"/>
        </w:rPr>
        <w:t>Johnberlyn</w:t>
      </w:r>
      <w:proofErr w:type="spellEnd"/>
      <w:r w:rsidR="008F2872" w:rsidRPr="0019776A">
        <w:rPr>
          <w:rFonts w:ascii="Arial" w:hAnsi="Arial" w:cs="Arial"/>
          <w:sz w:val="24"/>
          <w:szCs w:val="24"/>
          <w:lang w:val="en-CA"/>
        </w:rPr>
        <w:t xml:space="preserve"> Uy </w:t>
      </w:r>
      <w:r w:rsidRPr="0019776A">
        <w:rPr>
          <w:rFonts w:ascii="Arial" w:hAnsi="Arial" w:cs="Arial"/>
          <w:sz w:val="24"/>
          <w:szCs w:val="24"/>
          <w:lang w:val="en-CA"/>
        </w:rPr>
        <w:t xml:space="preserve">was driving the Coquihalla Highway after picking up his passenger, his girlfriend Ma </w:t>
      </w:r>
      <w:proofErr w:type="spellStart"/>
      <w:r w:rsidRPr="0019776A">
        <w:rPr>
          <w:rFonts w:ascii="Arial" w:hAnsi="Arial" w:cs="Arial"/>
          <w:sz w:val="24"/>
          <w:szCs w:val="24"/>
          <w:lang w:val="en-CA"/>
        </w:rPr>
        <w:t>Cezza</w:t>
      </w:r>
      <w:proofErr w:type="spellEnd"/>
      <w:r w:rsidRPr="0019776A">
        <w:rPr>
          <w:rFonts w:ascii="Arial" w:hAnsi="Arial" w:cs="Arial"/>
          <w:sz w:val="24"/>
          <w:szCs w:val="24"/>
          <w:lang w:val="en-CA"/>
        </w:rPr>
        <w:t xml:space="preserve"> De</w:t>
      </w:r>
      <w:r w:rsidR="00AC35C2">
        <w:rPr>
          <w:rFonts w:ascii="Arial" w:hAnsi="Arial" w:cs="Arial"/>
          <w:sz w:val="24"/>
          <w:szCs w:val="24"/>
          <w:lang w:val="en-CA"/>
        </w:rPr>
        <w:t xml:space="preserve"> </w:t>
      </w:r>
      <w:r w:rsidRPr="0019776A">
        <w:rPr>
          <w:rFonts w:ascii="Arial" w:hAnsi="Arial" w:cs="Arial"/>
          <w:sz w:val="24"/>
          <w:szCs w:val="24"/>
          <w:lang w:val="en-CA"/>
        </w:rPr>
        <w:t xml:space="preserve">Leon after her evening shift </w:t>
      </w:r>
      <w:r w:rsidR="00D929D7" w:rsidRPr="0019776A">
        <w:rPr>
          <w:rFonts w:ascii="Arial" w:hAnsi="Arial" w:cs="Arial"/>
          <w:sz w:val="24"/>
          <w:szCs w:val="24"/>
          <w:lang w:val="en-CA"/>
        </w:rPr>
        <w:t>at work in Kelowna.  The couple</w:t>
      </w:r>
      <w:r w:rsidRPr="0019776A">
        <w:rPr>
          <w:rFonts w:ascii="Arial" w:hAnsi="Arial" w:cs="Arial"/>
          <w:sz w:val="24"/>
          <w:szCs w:val="24"/>
          <w:lang w:val="en-CA"/>
        </w:rPr>
        <w:t xml:space="preserve"> were on their way to Vancouver to celebrate Chinese New Year. There had been a significant snowfall the day before, leaving portions of the highway snow-covered</w:t>
      </w:r>
      <w:r w:rsidR="00D929D7" w:rsidRPr="0019776A">
        <w:rPr>
          <w:rFonts w:ascii="Arial" w:hAnsi="Arial" w:cs="Arial"/>
          <w:sz w:val="24"/>
          <w:szCs w:val="24"/>
          <w:lang w:val="en-CA"/>
        </w:rPr>
        <w:t xml:space="preserve"> with some </w:t>
      </w:r>
      <w:proofErr w:type="gramStart"/>
      <w:r w:rsidR="00D929D7" w:rsidRPr="0019776A">
        <w:rPr>
          <w:rFonts w:ascii="Arial" w:hAnsi="Arial" w:cs="Arial"/>
          <w:sz w:val="24"/>
          <w:szCs w:val="24"/>
          <w:lang w:val="en-CA"/>
        </w:rPr>
        <w:t>snow banks</w:t>
      </w:r>
      <w:proofErr w:type="gramEnd"/>
      <w:r w:rsidR="00D929D7" w:rsidRPr="0019776A">
        <w:rPr>
          <w:rFonts w:ascii="Arial" w:hAnsi="Arial" w:cs="Arial"/>
          <w:sz w:val="24"/>
          <w:szCs w:val="24"/>
          <w:lang w:val="en-CA"/>
        </w:rPr>
        <w:t xml:space="preserve"> still accumulated on the shoulders of the highway</w:t>
      </w:r>
      <w:r w:rsidRPr="0019776A">
        <w:rPr>
          <w:rFonts w:ascii="Arial" w:hAnsi="Arial" w:cs="Arial"/>
          <w:sz w:val="24"/>
          <w:szCs w:val="24"/>
          <w:lang w:val="en-CA"/>
        </w:rPr>
        <w:t xml:space="preserve">.  </w:t>
      </w:r>
    </w:p>
    <w:p w14:paraId="10D37486" w14:textId="77777777" w:rsidR="003766C9" w:rsidRPr="0019776A" w:rsidRDefault="003766C9" w:rsidP="00EF10C2">
      <w:pPr>
        <w:pStyle w:val="ListParagraph"/>
        <w:numPr>
          <w:ilvl w:val="0"/>
          <w:numId w:val="8"/>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On the descent toward the snow shed tunnel, Mr. Uy’s </w:t>
      </w:r>
      <w:r w:rsidR="008F2872" w:rsidRPr="0019776A">
        <w:rPr>
          <w:rFonts w:ascii="Arial" w:hAnsi="Arial" w:cs="Arial"/>
          <w:sz w:val="24"/>
          <w:szCs w:val="24"/>
          <w:lang w:val="en-CA"/>
        </w:rPr>
        <w:t xml:space="preserve">Honda Element </w:t>
      </w:r>
      <w:r w:rsidRPr="0019776A">
        <w:rPr>
          <w:rFonts w:ascii="Arial" w:hAnsi="Arial" w:cs="Arial"/>
          <w:sz w:val="24"/>
          <w:szCs w:val="24"/>
          <w:lang w:val="en-CA"/>
        </w:rPr>
        <w:t>collided with</w:t>
      </w:r>
      <w:r w:rsidR="008F2872" w:rsidRPr="0019776A">
        <w:rPr>
          <w:rFonts w:ascii="Arial" w:hAnsi="Arial" w:cs="Arial"/>
          <w:sz w:val="24"/>
          <w:szCs w:val="24"/>
          <w:lang w:val="en-CA"/>
        </w:rPr>
        <w:t xml:space="preserve"> the rear of a B-combo tractor-trailer unit</w:t>
      </w:r>
      <w:r w:rsidRPr="0019776A">
        <w:rPr>
          <w:rFonts w:ascii="Arial" w:hAnsi="Arial" w:cs="Arial"/>
          <w:sz w:val="24"/>
          <w:szCs w:val="24"/>
          <w:lang w:val="en-CA"/>
        </w:rPr>
        <w:t xml:space="preserve">. </w:t>
      </w:r>
      <w:r w:rsidR="00D929D7" w:rsidRPr="0019776A">
        <w:rPr>
          <w:rFonts w:ascii="Arial" w:hAnsi="Arial" w:cs="Arial"/>
          <w:sz w:val="24"/>
          <w:szCs w:val="24"/>
          <w:lang w:val="en-CA"/>
        </w:rPr>
        <w:t xml:space="preserve"> The collision was severe.  The point of impact was directly to the driver’s side.  </w:t>
      </w:r>
    </w:p>
    <w:p w14:paraId="31EE10DC" w14:textId="77777777" w:rsidR="00D929D7" w:rsidRPr="0019776A" w:rsidRDefault="00D929D7" w:rsidP="00EF10C2">
      <w:pPr>
        <w:pStyle w:val="ListParagraph"/>
        <w:numPr>
          <w:ilvl w:val="0"/>
          <w:numId w:val="8"/>
        </w:numPr>
        <w:spacing w:before="240" w:line="276" w:lineRule="auto"/>
        <w:ind w:left="360"/>
        <w:contextualSpacing w:val="0"/>
        <w:jc w:val="both"/>
        <w:rPr>
          <w:rFonts w:ascii="Arial" w:hAnsi="Arial" w:cs="Arial"/>
          <w:sz w:val="24"/>
          <w:szCs w:val="24"/>
          <w:lang w:val="en-CA"/>
        </w:rPr>
      </w:pPr>
      <w:proofErr w:type="spellStart"/>
      <w:r w:rsidRPr="0019776A">
        <w:rPr>
          <w:rFonts w:ascii="Arial" w:hAnsi="Arial" w:cs="Arial"/>
          <w:sz w:val="24"/>
          <w:szCs w:val="24"/>
          <w:lang w:val="en-CA"/>
        </w:rPr>
        <w:t>Johnberlyn</w:t>
      </w:r>
      <w:proofErr w:type="spellEnd"/>
      <w:r w:rsidRPr="0019776A">
        <w:rPr>
          <w:rFonts w:ascii="Arial" w:hAnsi="Arial" w:cs="Arial"/>
          <w:sz w:val="24"/>
          <w:szCs w:val="24"/>
          <w:lang w:val="en-CA"/>
        </w:rPr>
        <w:t xml:space="preserve"> suffered </w:t>
      </w:r>
      <w:r w:rsidR="005561B3" w:rsidRPr="0019776A">
        <w:rPr>
          <w:rFonts w:ascii="Arial" w:hAnsi="Arial" w:cs="Arial"/>
          <w:sz w:val="24"/>
          <w:szCs w:val="24"/>
          <w:lang w:val="en-CA"/>
        </w:rPr>
        <w:t xml:space="preserve">a severe traumatic brain injury.  He </w:t>
      </w:r>
      <w:r w:rsidR="0063238B" w:rsidRPr="0019776A">
        <w:rPr>
          <w:rFonts w:ascii="Arial" w:hAnsi="Arial" w:cs="Arial"/>
          <w:sz w:val="24"/>
          <w:szCs w:val="24"/>
          <w:lang w:val="en-CA"/>
        </w:rPr>
        <w:t xml:space="preserve">has no memory of the collision.  </w:t>
      </w:r>
    </w:p>
    <w:p w14:paraId="15099C38" w14:textId="77777777" w:rsidR="003766C9" w:rsidRPr="0019776A" w:rsidRDefault="008F2872" w:rsidP="00EF10C2">
      <w:pPr>
        <w:pStyle w:val="ListParagraph"/>
        <w:numPr>
          <w:ilvl w:val="0"/>
          <w:numId w:val="8"/>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The tractor-trailer driver, </w:t>
      </w:r>
      <w:r w:rsidR="003766C9" w:rsidRPr="0019776A">
        <w:rPr>
          <w:rFonts w:ascii="Arial" w:hAnsi="Arial" w:cs="Arial"/>
          <w:sz w:val="24"/>
          <w:szCs w:val="24"/>
          <w:lang w:val="en-CA"/>
        </w:rPr>
        <w:t xml:space="preserve">Mr. </w:t>
      </w:r>
      <w:r w:rsidRPr="0019776A">
        <w:rPr>
          <w:rFonts w:ascii="Arial" w:hAnsi="Arial" w:cs="Arial"/>
          <w:sz w:val="24"/>
          <w:szCs w:val="24"/>
          <w:lang w:val="en-CA"/>
        </w:rPr>
        <w:t xml:space="preserve">Dhillon, admitted he was in the course of passing another Super-B tractor-trailer unit at the time of the collision. </w:t>
      </w:r>
      <w:r w:rsidR="0063238B" w:rsidRPr="0019776A">
        <w:rPr>
          <w:rFonts w:ascii="Arial" w:hAnsi="Arial" w:cs="Arial"/>
          <w:sz w:val="24"/>
          <w:szCs w:val="24"/>
          <w:lang w:val="en-CA"/>
        </w:rPr>
        <w:t xml:space="preserve"> He insisted the area of the collision was functioning as a three-lane highway.</w:t>
      </w:r>
    </w:p>
    <w:p w14:paraId="2CBAD115" w14:textId="77777777" w:rsidR="00C00C38" w:rsidRPr="0019776A" w:rsidRDefault="008F2872" w:rsidP="00EF10C2">
      <w:pPr>
        <w:pStyle w:val="ListParagraph"/>
        <w:numPr>
          <w:ilvl w:val="0"/>
          <w:numId w:val="8"/>
        </w:numPr>
        <w:spacing w:before="240" w:line="276" w:lineRule="auto"/>
        <w:ind w:left="360"/>
        <w:contextualSpacing w:val="0"/>
        <w:jc w:val="both"/>
        <w:rPr>
          <w:rFonts w:ascii="Arial" w:hAnsi="Arial" w:cs="Arial"/>
          <w:sz w:val="24"/>
          <w:szCs w:val="24"/>
          <w:lang w:val="en-CA"/>
        </w:rPr>
      </w:pPr>
      <w:r w:rsidRPr="0019776A">
        <w:rPr>
          <w:rFonts w:ascii="Arial" w:hAnsi="Arial" w:cs="Arial"/>
          <w:sz w:val="24"/>
          <w:szCs w:val="24"/>
          <w:lang w:val="en-CA"/>
        </w:rPr>
        <w:t xml:space="preserve">Mr. Uy’s passenger, </w:t>
      </w:r>
      <w:r w:rsidR="003766C9" w:rsidRPr="0019776A">
        <w:rPr>
          <w:rFonts w:ascii="Arial" w:hAnsi="Arial" w:cs="Arial"/>
          <w:sz w:val="24"/>
          <w:szCs w:val="24"/>
          <w:lang w:val="en-CA"/>
        </w:rPr>
        <w:t>Ms.</w:t>
      </w:r>
      <w:r w:rsidRPr="0019776A">
        <w:rPr>
          <w:rFonts w:ascii="Arial" w:hAnsi="Arial" w:cs="Arial"/>
          <w:sz w:val="24"/>
          <w:szCs w:val="24"/>
          <w:lang w:val="en-CA"/>
        </w:rPr>
        <w:t xml:space="preserve"> De Leon, </w:t>
      </w:r>
      <w:r w:rsidR="00D929D7" w:rsidRPr="0019776A">
        <w:rPr>
          <w:rFonts w:ascii="Arial" w:hAnsi="Arial" w:cs="Arial"/>
          <w:sz w:val="24"/>
          <w:szCs w:val="24"/>
          <w:lang w:val="en-CA"/>
        </w:rPr>
        <w:t>had been consistent since the day of the collision</w:t>
      </w:r>
      <w:r w:rsidR="0091090C" w:rsidRPr="0019776A">
        <w:rPr>
          <w:rFonts w:ascii="Arial" w:hAnsi="Arial" w:cs="Arial"/>
          <w:sz w:val="24"/>
          <w:szCs w:val="24"/>
          <w:lang w:val="en-CA"/>
        </w:rPr>
        <w:t xml:space="preserve"> that Dhillon’s trailer intruded into Mr. Uy’s lane of travel, causing him to take evasive action, leading to the collision.  </w:t>
      </w:r>
      <w:r w:rsidR="0063238B" w:rsidRPr="0019776A">
        <w:rPr>
          <w:rFonts w:ascii="Arial" w:hAnsi="Arial" w:cs="Arial"/>
          <w:sz w:val="24"/>
          <w:szCs w:val="24"/>
          <w:lang w:val="en-CA"/>
        </w:rPr>
        <w:t>She insisted the area of the collision was only a two-lane highway.</w:t>
      </w:r>
    </w:p>
    <w:p w14:paraId="15F3EA13" w14:textId="77777777" w:rsidR="00DE5BDE" w:rsidRPr="0019776A" w:rsidRDefault="00DE5BDE" w:rsidP="00DE5BDE">
      <w:pPr>
        <w:pStyle w:val="ListParagraph"/>
        <w:rPr>
          <w:rFonts w:ascii="Arial" w:hAnsi="Arial" w:cs="Arial"/>
          <w:lang w:val="en-CA"/>
        </w:rPr>
      </w:pPr>
    </w:p>
    <w:p w14:paraId="49678D67" w14:textId="77777777" w:rsidR="00D929D7" w:rsidRPr="0019776A" w:rsidRDefault="009271D6" w:rsidP="00EF10C2">
      <w:pPr>
        <w:pStyle w:val="ListParagraph"/>
        <w:numPr>
          <w:ilvl w:val="0"/>
          <w:numId w:val="8"/>
        </w:numPr>
        <w:spacing w:line="276" w:lineRule="auto"/>
        <w:ind w:left="360"/>
        <w:jc w:val="both"/>
        <w:rPr>
          <w:rFonts w:ascii="Arial" w:hAnsi="Arial" w:cs="Arial"/>
          <w:sz w:val="24"/>
          <w:lang w:val="en-CA"/>
        </w:rPr>
      </w:pPr>
      <w:r w:rsidRPr="0019776A">
        <w:rPr>
          <w:rFonts w:ascii="Arial" w:hAnsi="Arial" w:cs="Arial"/>
          <w:sz w:val="24"/>
          <w:lang w:val="en-CA"/>
        </w:rPr>
        <w:t xml:space="preserve">Dhillon and his employer, the owner of the tractor-trailer unit, </w:t>
      </w:r>
      <w:r w:rsidR="00D929D7" w:rsidRPr="0019776A">
        <w:rPr>
          <w:rFonts w:ascii="Arial" w:hAnsi="Arial" w:cs="Arial"/>
          <w:sz w:val="24"/>
          <w:lang w:val="en-CA"/>
        </w:rPr>
        <w:t xml:space="preserve">Day &amp; Ross, </w:t>
      </w:r>
      <w:r w:rsidRPr="0019776A">
        <w:rPr>
          <w:rFonts w:ascii="Arial" w:hAnsi="Arial" w:cs="Arial"/>
          <w:sz w:val="24"/>
          <w:lang w:val="en-CA"/>
        </w:rPr>
        <w:t>argued Mr. Uy was wholly at fault for rear-ending the tractor-trailer or, in the alternative, that he was contributory negligent.</w:t>
      </w:r>
      <w:r w:rsidR="003766C9" w:rsidRPr="0019776A">
        <w:rPr>
          <w:rFonts w:ascii="Arial" w:hAnsi="Arial" w:cs="Arial"/>
          <w:sz w:val="24"/>
          <w:lang w:val="en-CA"/>
        </w:rPr>
        <w:t xml:space="preserve"> </w:t>
      </w:r>
    </w:p>
    <w:p w14:paraId="24A89298" w14:textId="77777777" w:rsidR="00D929D7" w:rsidRPr="0019776A" w:rsidRDefault="00D929D7" w:rsidP="00D929D7">
      <w:pPr>
        <w:pStyle w:val="ListParagraph"/>
        <w:rPr>
          <w:rFonts w:ascii="Arial" w:hAnsi="Arial" w:cs="Arial"/>
          <w:sz w:val="24"/>
          <w:lang w:val="en-CA"/>
        </w:rPr>
      </w:pPr>
    </w:p>
    <w:p w14:paraId="720C9374" w14:textId="20561EED" w:rsidR="003766C9" w:rsidRPr="0019776A" w:rsidRDefault="003766C9" w:rsidP="00EF10C2">
      <w:pPr>
        <w:pStyle w:val="ListParagraph"/>
        <w:numPr>
          <w:ilvl w:val="0"/>
          <w:numId w:val="8"/>
        </w:numPr>
        <w:spacing w:line="276" w:lineRule="auto"/>
        <w:ind w:left="360"/>
        <w:jc w:val="both"/>
        <w:rPr>
          <w:rFonts w:ascii="Arial" w:hAnsi="Arial" w:cs="Arial"/>
          <w:sz w:val="24"/>
          <w:lang w:val="en-CA"/>
        </w:rPr>
      </w:pPr>
      <w:r w:rsidRPr="0019776A">
        <w:rPr>
          <w:rFonts w:ascii="Arial" w:hAnsi="Arial" w:cs="Arial"/>
          <w:sz w:val="24"/>
          <w:lang w:val="en-CA"/>
        </w:rPr>
        <w:t xml:space="preserve">The defendants’ private insurer’s </w:t>
      </w:r>
      <w:r w:rsidR="0063238B" w:rsidRPr="0019776A">
        <w:rPr>
          <w:rFonts w:ascii="Arial" w:hAnsi="Arial" w:cs="Arial"/>
          <w:sz w:val="24"/>
          <w:lang w:val="en-CA"/>
        </w:rPr>
        <w:t>entrenched</w:t>
      </w:r>
      <w:r w:rsidRPr="0019776A">
        <w:rPr>
          <w:rFonts w:ascii="Arial" w:hAnsi="Arial" w:cs="Arial"/>
          <w:sz w:val="24"/>
          <w:lang w:val="en-CA"/>
        </w:rPr>
        <w:t xml:space="preserve"> position on liability ensured that settlement </w:t>
      </w:r>
      <w:r w:rsidR="0063238B" w:rsidRPr="0019776A">
        <w:rPr>
          <w:rFonts w:ascii="Arial" w:hAnsi="Arial" w:cs="Arial"/>
          <w:sz w:val="24"/>
          <w:lang w:val="en-CA"/>
        </w:rPr>
        <w:t>negotiations failed. T</w:t>
      </w:r>
      <w:r w:rsidRPr="0019776A">
        <w:rPr>
          <w:rFonts w:ascii="Arial" w:hAnsi="Arial" w:cs="Arial"/>
          <w:sz w:val="24"/>
          <w:lang w:val="en-CA"/>
        </w:rPr>
        <w:t xml:space="preserve">he matter proceeded to a ten-day liability-only trial before Marzari, J. in June, 2019. She gave oral reasons on Day Ten.  </w:t>
      </w:r>
    </w:p>
    <w:p w14:paraId="6781B8DB" w14:textId="77777777" w:rsidR="003766C9" w:rsidRPr="0019776A" w:rsidRDefault="003766C9" w:rsidP="003766C9">
      <w:pPr>
        <w:pStyle w:val="ListParagraph"/>
        <w:rPr>
          <w:rFonts w:ascii="Arial" w:hAnsi="Arial" w:cs="Arial"/>
          <w:sz w:val="24"/>
          <w:lang w:val="en-CA"/>
        </w:rPr>
      </w:pPr>
    </w:p>
    <w:p w14:paraId="769DA32A" w14:textId="77777777" w:rsidR="00C00C38" w:rsidRPr="0019776A" w:rsidRDefault="0063238B" w:rsidP="00EF10C2">
      <w:pPr>
        <w:pStyle w:val="ListParagraph"/>
        <w:numPr>
          <w:ilvl w:val="0"/>
          <w:numId w:val="8"/>
        </w:numPr>
        <w:spacing w:line="276" w:lineRule="auto"/>
        <w:ind w:left="360"/>
        <w:jc w:val="both"/>
        <w:rPr>
          <w:rFonts w:ascii="Arial" w:hAnsi="Arial" w:cs="Arial"/>
          <w:sz w:val="24"/>
          <w:lang w:val="en-CA"/>
        </w:rPr>
      </w:pPr>
      <w:r w:rsidRPr="0019776A">
        <w:rPr>
          <w:rFonts w:ascii="Arial" w:hAnsi="Arial" w:cs="Arial"/>
          <w:sz w:val="24"/>
          <w:lang w:val="en-CA"/>
        </w:rPr>
        <w:t xml:space="preserve">One significant challenge for the plaintiff was that engineering evidence was inconclusive in explaining just how the collision happened, largely because the snow and gravel-covered accident scene was contaminated with tire marks from first responders.  For this reason, the plaintiff did </w:t>
      </w:r>
      <w:r w:rsidRPr="0019776A">
        <w:rPr>
          <w:rFonts w:ascii="Arial" w:hAnsi="Arial" w:cs="Arial"/>
          <w:sz w:val="24"/>
          <w:u w:val="single"/>
          <w:lang w:val="en-CA"/>
        </w:rPr>
        <w:t>not</w:t>
      </w:r>
      <w:r w:rsidRPr="0019776A">
        <w:rPr>
          <w:rFonts w:ascii="Arial" w:hAnsi="Arial" w:cs="Arial"/>
          <w:sz w:val="24"/>
          <w:lang w:val="en-CA"/>
        </w:rPr>
        <w:t xml:space="preserve"> commission or serve a primary expert opinion at the 84-day deadline.  Instead, the plaintiff relied upon </w:t>
      </w:r>
      <w:r w:rsidRPr="0019776A">
        <w:rPr>
          <w:rFonts w:ascii="Arial" w:hAnsi="Arial" w:cs="Arial"/>
          <w:sz w:val="24"/>
          <w:u w:val="single"/>
          <w:lang w:val="en-CA"/>
        </w:rPr>
        <w:t>lay witness</w:t>
      </w:r>
      <w:r w:rsidRPr="0019776A">
        <w:rPr>
          <w:rFonts w:ascii="Arial" w:hAnsi="Arial" w:cs="Arial"/>
          <w:sz w:val="24"/>
          <w:lang w:val="en-CA"/>
        </w:rPr>
        <w:t xml:space="preserve"> evidence from two key sources: the passenger, Ms. De Leon, and the road maintenance worker Mr. Jackson was one of the first responders on scene.  </w:t>
      </w:r>
    </w:p>
    <w:p w14:paraId="18897AE5" w14:textId="77777777" w:rsidR="0063238B" w:rsidRPr="0019776A" w:rsidRDefault="0063238B" w:rsidP="0063238B">
      <w:pPr>
        <w:pStyle w:val="ListParagraph"/>
        <w:rPr>
          <w:rFonts w:ascii="Arial" w:hAnsi="Arial" w:cs="Arial"/>
          <w:sz w:val="24"/>
          <w:lang w:val="en-CA"/>
        </w:rPr>
      </w:pPr>
    </w:p>
    <w:p w14:paraId="6D3C67C0" w14:textId="77777777" w:rsidR="0063238B" w:rsidRPr="0019776A" w:rsidRDefault="0063238B" w:rsidP="00EF10C2">
      <w:pPr>
        <w:pStyle w:val="ListParagraph"/>
        <w:numPr>
          <w:ilvl w:val="0"/>
          <w:numId w:val="8"/>
        </w:numPr>
        <w:spacing w:line="276" w:lineRule="auto"/>
        <w:ind w:left="360"/>
        <w:jc w:val="both"/>
        <w:rPr>
          <w:rFonts w:ascii="Arial" w:hAnsi="Arial" w:cs="Arial"/>
          <w:sz w:val="24"/>
          <w:lang w:val="en-CA"/>
        </w:rPr>
      </w:pPr>
      <w:r w:rsidRPr="0019776A">
        <w:rPr>
          <w:rFonts w:ascii="Arial" w:hAnsi="Arial" w:cs="Arial"/>
          <w:sz w:val="24"/>
          <w:lang w:val="en-CA"/>
        </w:rPr>
        <w:t>The defendants did serve a primary engineering report at the 84-day deadline, from Trevor Dinn, P.Eng.  He relied on photo-modelling</w:t>
      </w:r>
      <w:r w:rsidR="00EF1639" w:rsidRPr="0019776A">
        <w:rPr>
          <w:rFonts w:ascii="Arial" w:hAnsi="Arial" w:cs="Arial"/>
          <w:sz w:val="24"/>
          <w:lang w:val="en-CA"/>
        </w:rPr>
        <w:t>, tire marks,</w:t>
      </w:r>
      <w:r w:rsidRPr="0019776A">
        <w:rPr>
          <w:rFonts w:ascii="Arial" w:hAnsi="Arial" w:cs="Arial"/>
          <w:sz w:val="24"/>
          <w:lang w:val="en-CA"/>
        </w:rPr>
        <w:t xml:space="preserve"> and survey measurements to opine that the impact point was in the “centre” lane.  Below is Mr. Dinn’s diagram of the accident scene.</w:t>
      </w:r>
    </w:p>
    <w:p w14:paraId="4165124F" w14:textId="77777777" w:rsidR="0063238B" w:rsidRPr="0019776A" w:rsidRDefault="0063238B" w:rsidP="0063238B">
      <w:pPr>
        <w:pStyle w:val="ListParagraph"/>
        <w:rPr>
          <w:rFonts w:ascii="Arial" w:hAnsi="Arial" w:cs="Arial"/>
          <w:sz w:val="24"/>
          <w:lang w:val="en-CA"/>
        </w:rPr>
      </w:pPr>
    </w:p>
    <w:p w14:paraId="7EFEB2E9" w14:textId="77777777" w:rsidR="00BF2B02" w:rsidRPr="0019776A" w:rsidRDefault="0063238B" w:rsidP="00EF10C2">
      <w:pPr>
        <w:pStyle w:val="ListParagraph"/>
        <w:numPr>
          <w:ilvl w:val="0"/>
          <w:numId w:val="8"/>
        </w:numPr>
        <w:spacing w:after="240" w:line="276" w:lineRule="auto"/>
        <w:ind w:left="360"/>
        <w:contextualSpacing w:val="0"/>
        <w:jc w:val="both"/>
        <w:rPr>
          <w:rFonts w:ascii="Arial" w:hAnsi="Arial" w:cs="Arial"/>
          <w:sz w:val="24"/>
          <w:lang w:val="en-CA"/>
        </w:rPr>
      </w:pPr>
      <w:r w:rsidRPr="0019776A">
        <w:rPr>
          <w:rFonts w:ascii="Arial" w:hAnsi="Arial" w:cs="Arial"/>
          <w:sz w:val="24"/>
          <w:lang w:val="en-CA"/>
        </w:rPr>
        <w:t xml:space="preserve">Critically, </w:t>
      </w:r>
      <w:r w:rsidR="00EF1639" w:rsidRPr="0019776A">
        <w:rPr>
          <w:rFonts w:ascii="Arial" w:hAnsi="Arial" w:cs="Arial"/>
          <w:sz w:val="24"/>
          <w:lang w:val="en-CA"/>
        </w:rPr>
        <w:t>Mr. Dinn</w:t>
      </w:r>
      <w:r w:rsidRPr="0019776A">
        <w:rPr>
          <w:rFonts w:ascii="Arial" w:hAnsi="Arial" w:cs="Arial"/>
          <w:sz w:val="24"/>
          <w:lang w:val="en-CA"/>
        </w:rPr>
        <w:t xml:space="preserve"> </w:t>
      </w:r>
      <w:r w:rsidR="00EF1639" w:rsidRPr="0019776A">
        <w:rPr>
          <w:rFonts w:ascii="Arial" w:hAnsi="Arial" w:cs="Arial"/>
          <w:sz w:val="24"/>
          <w:lang w:val="en-CA"/>
        </w:rPr>
        <w:t>conceded that</w:t>
      </w:r>
      <w:r w:rsidRPr="0019776A">
        <w:rPr>
          <w:rFonts w:ascii="Arial" w:hAnsi="Arial" w:cs="Arial"/>
          <w:sz w:val="24"/>
          <w:lang w:val="en-CA"/>
        </w:rPr>
        <w:t xml:space="preserve"> the roadway line markings were </w:t>
      </w:r>
      <w:r w:rsidRPr="0019776A">
        <w:rPr>
          <w:rFonts w:ascii="Arial" w:hAnsi="Arial" w:cs="Arial"/>
          <w:sz w:val="24"/>
          <w:u w:val="single"/>
          <w:lang w:val="en-CA"/>
        </w:rPr>
        <w:t>not</w:t>
      </w:r>
      <w:r w:rsidRPr="0019776A">
        <w:rPr>
          <w:rFonts w:ascii="Arial" w:hAnsi="Arial" w:cs="Arial"/>
          <w:sz w:val="24"/>
          <w:lang w:val="en-CA"/>
        </w:rPr>
        <w:t xml:space="preserve"> visible at the material time, and that there was a “bare-like” traveled portion of the roadway on the left side of the highway.  </w:t>
      </w:r>
    </w:p>
    <w:p w14:paraId="0C228138" w14:textId="77777777" w:rsidR="00BF2B02" w:rsidRPr="0019776A" w:rsidRDefault="00EF1639" w:rsidP="00EF10C2">
      <w:pPr>
        <w:pStyle w:val="ListParagraph"/>
        <w:numPr>
          <w:ilvl w:val="0"/>
          <w:numId w:val="8"/>
        </w:numPr>
        <w:spacing w:after="240" w:line="276" w:lineRule="auto"/>
        <w:ind w:left="360"/>
        <w:contextualSpacing w:val="0"/>
        <w:jc w:val="both"/>
        <w:rPr>
          <w:rFonts w:ascii="Arial" w:hAnsi="Arial" w:cs="Arial"/>
          <w:sz w:val="24"/>
          <w:lang w:val="en-CA"/>
        </w:rPr>
      </w:pPr>
      <w:r w:rsidRPr="0019776A">
        <w:rPr>
          <w:rFonts w:ascii="Arial" w:hAnsi="Arial" w:cs="Arial"/>
          <w:sz w:val="24"/>
          <w:lang w:val="en-CA"/>
        </w:rPr>
        <w:t xml:space="preserve">There were two critical factual assumptions Mr. Dinn did </w:t>
      </w:r>
      <w:r w:rsidRPr="0019776A">
        <w:rPr>
          <w:rFonts w:ascii="Arial" w:hAnsi="Arial" w:cs="Arial"/>
          <w:sz w:val="24"/>
          <w:u w:val="single"/>
          <w:lang w:val="en-CA"/>
        </w:rPr>
        <w:t>not</w:t>
      </w:r>
      <w:r w:rsidRPr="0019776A">
        <w:rPr>
          <w:rFonts w:ascii="Arial" w:hAnsi="Arial" w:cs="Arial"/>
          <w:sz w:val="24"/>
          <w:lang w:val="en-CA"/>
        </w:rPr>
        <w:t xml:space="preserve"> account for in his opinion: the existence of encroaching </w:t>
      </w:r>
      <w:proofErr w:type="gramStart"/>
      <w:r w:rsidRPr="0019776A">
        <w:rPr>
          <w:rFonts w:ascii="Arial" w:hAnsi="Arial" w:cs="Arial"/>
          <w:sz w:val="24"/>
          <w:lang w:val="en-CA"/>
        </w:rPr>
        <w:t>snow banks</w:t>
      </w:r>
      <w:proofErr w:type="gramEnd"/>
      <w:r w:rsidRPr="0019776A">
        <w:rPr>
          <w:rFonts w:ascii="Arial" w:hAnsi="Arial" w:cs="Arial"/>
          <w:sz w:val="24"/>
          <w:lang w:val="en-CA"/>
        </w:rPr>
        <w:t xml:space="preserve"> on the sides of the highway and, most critically, the fact that Mr. Dhillon admitted he was trying to pass another Super-B tractor-trailer on the highway at the time of the collision.  </w:t>
      </w:r>
    </w:p>
    <w:p w14:paraId="0CC30863" w14:textId="419BFB75" w:rsidR="006117F6" w:rsidRPr="0019776A" w:rsidRDefault="006117F6" w:rsidP="00EF10C2">
      <w:pPr>
        <w:pStyle w:val="ListParagraph"/>
        <w:numPr>
          <w:ilvl w:val="0"/>
          <w:numId w:val="8"/>
        </w:numPr>
        <w:spacing w:after="240" w:line="276" w:lineRule="auto"/>
        <w:ind w:left="360"/>
        <w:contextualSpacing w:val="0"/>
        <w:jc w:val="both"/>
        <w:rPr>
          <w:rFonts w:ascii="Arial" w:hAnsi="Arial" w:cs="Arial"/>
          <w:sz w:val="24"/>
          <w:lang w:val="en-CA"/>
        </w:rPr>
      </w:pPr>
      <w:r w:rsidRPr="0019776A">
        <w:rPr>
          <w:rFonts w:ascii="Arial" w:hAnsi="Arial" w:cs="Arial"/>
          <w:sz w:val="24"/>
          <w:lang w:val="en-CA"/>
        </w:rPr>
        <w:t xml:space="preserve">These two facts critically change </w:t>
      </w:r>
      <w:r w:rsidR="00C11E12">
        <w:rPr>
          <w:rFonts w:ascii="Arial" w:hAnsi="Arial" w:cs="Arial"/>
          <w:sz w:val="24"/>
          <w:lang w:val="en-CA"/>
        </w:rPr>
        <w:t>the defence expert’s</w:t>
      </w:r>
      <w:r w:rsidRPr="0019776A">
        <w:rPr>
          <w:rFonts w:ascii="Arial" w:hAnsi="Arial" w:cs="Arial"/>
          <w:sz w:val="24"/>
          <w:lang w:val="en-CA"/>
        </w:rPr>
        <w:t xml:space="preserve"> modelling of the tractor-trailer’s unit at the point of impact.  </w:t>
      </w:r>
    </w:p>
    <w:p w14:paraId="5D66ABB4" w14:textId="77777777" w:rsidR="002E14CE" w:rsidRPr="0019776A" w:rsidRDefault="006117F6" w:rsidP="00EF10C2">
      <w:pPr>
        <w:pStyle w:val="ListParagraph"/>
        <w:numPr>
          <w:ilvl w:val="0"/>
          <w:numId w:val="8"/>
        </w:numPr>
        <w:spacing w:after="240" w:line="276" w:lineRule="auto"/>
        <w:ind w:left="360"/>
        <w:contextualSpacing w:val="0"/>
        <w:jc w:val="both"/>
        <w:rPr>
          <w:rFonts w:ascii="Arial" w:hAnsi="Arial" w:cs="Arial"/>
          <w:sz w:val="24"/>
          <w:lang w:val="en-CA"/>
        </w:rPr>
      </w:pPr>
      <w:r w:rsidRPr="0019776A">
        <w:rPr>
          <w:rFonts w:ascii="Arial" w:hAnsi="Arial" w:cs="Arial"/>
          <w:sz w:val="24"/>
          <w:lang w:val="en-CA"/>
        </w:rPr>
        <w:t xml:space="preserve">What happened in the moments before impact </w:t>
      </w:r>
      <w:r w:rsidR="002429F4" w:rsidRPr="0019776A">
        <w:rPr>
          <w:rFonts w:ascii="Arial" w:hAnsi="Arial" w:cs="Arial"/>
          <w:sz w:val="24"/>
          <w:lang w:val="en-CA"/>
        </w:rPr>
        <w:t xml:space="preserve">was obviously crucial to a determination of liability.  Did Mr. Uy take evasive action to avoid Mr. Dhillon’s suddenly encroaching trailer?   </w:t>
      </w:r>
    </w:p>
    <w:p w14:paraId="46D5F08B" w14:textId="74C46405" w:rsidR="002E14CE" w:rsidRPr="0019776A" w:rsidRDefault="002429F4" w:rsidP="00EF10C2">
      <w:pPr>
        <w:pStyle w:val="ListParagraph"/>
        <w:numPr>
          <w:ilvl w:val="0"/>
          <w:numId w:val="8"/>
        </w:numPr>
        <w:spacing w:after="240" w:line="276" w:lineRule="auto"/>
        <w:ind w:left="360"/>
        <w:contextualSpacing w:val="0"/>
        <w:jc w:val="both"/>
        <w:rPr>
          <w:rFonts w:ascii="Arial" w:hAnsi="Arial" w:cs="Arial"/>
          <w:sz w:val="24"/>
          <w:lang w:val="en-CA"/>
        </w:rPr>
      </w:pPr>
      <w:r w:rsidRPr="0019776A">
        <w:rPr>
          <w:rFonts w:ascii="Arial" w:hAnsi="Arial" w:cs="Arial"/>
          <w:sz w:val="24"/>
          <w:lang w:val="en-CA"/>
        </w:rPr>
        <w:t xml:space="preserve">While </w:t>
      </w:r>
      <w:r w:rsidR="00C11E12">
        <w:rPr>
          <w:rFonts w:ascii="Arial" w:hAnsi="Arial" w:cs="Arial"/>
          <w:sz w:val="24"/>
          <w:lang w:val="en-CA"/>
        </w:rPr>
        <w:t xml:space="preserve">the experts </w:t>
      </w:r>
      <w:r w:rsidRPr="0019776A">
        <w:rPr>
          <w:rFonts w:ascii="Arial" w:hAnsi="Arial" w:cs="Arial"/>
          <w:sz w:val="24"/>
          <w:lang w:val="en-CA"/>
        </w:rPr>
        <w:t>assisted in answering this question, the critical evidence</w:t>
      </w:r>
      <w:r w:rsidR="002E14CE" w:rsidRPr="0019776A">
        <w:rPr>
          <w:rFonts w:ascii="Arial" w:hAnsi="Arial" w:cs="Arial"/>
          <w:sz w:val="24"/>
          <w:lang w:val="en-CA"/>
        </w:rPr>
        <w:t xml:space="preserve"> was the lay evidence, that of Ms. De Leon and Mr. Dhillon, and the credibility and reliability of their competing evidence was very much in issue.  Marzari </w:t>
      </w:r>
      <w:r w:rsidR="00236FED">
        <w:rPr>
          <w:rFonts w:ascii="Arial" w:hAnsi="Arial" w:cs="Arial"/>
          <w:sz w:val="24"/>
          <w:lang w:val="en-CA"/>
        </w:rPr>
        <w:t xml:space="preserve">J. </w:t>
      </w:r>
      <w:r w:rsidR="002E14CE" w:rsidRPr="0019776A">
        <w:rPr>
          <w:rFonts w:ascii="Arial" w:hAnsi="Arial" w:cs="Arial"/>
          <w:sz w:val="24"/>
          <w:lang w:val="en-CA"/>
        </w:rPr>
        <w:t>reconciled that evidenc</w:t>
      </w:r>
      <w:r w:rsidR="005561B3" w:rsidRPr="0019776A">
        <w:rPr>
          <w:rFonts w:ascii="Arial" w:hAnsi="Arial" w:cs="Arial"/>
          <w:sz w:val="24"/>
          <w:lang w:val="en-CA"/>
        </w:rPr>
        <w:t>e in her reasons, accepting Ms. </w:t>
      </w:r>
      <w:r w:rsidR="002E14CE" w:rsidRPr="0019776A">
        <w:rPr>
          <w:rFonts w:ascii="Arial" w:hAnsi="Arial" w:cs="Arial"/>
          <w:sz w:val="24"/>
          <w:lang w:val="en-CA"/>
        </w:rPr>
        <w:t>De</w:t>
      </w:r>
      <w:r w:rsidR="00236FED">
        <w:rPr>
          <w:rFonts w:ascii="Arial" w:hAnsi="Arial" w:cs="Arial"/>
          <w:sz w:val="24"/>
          <w:lang w:val="en-CA"/>
        </w:rPr>
        <w:t xml:space="preserve"> </w:t>
      </w:r>
      <w:r w:rsidR="002E14CE" w:rsidRPr="0019776A">
        <w:rPr>
          <w:rFonts w:ascii="Arial" w:hAnsi="Arial" w:cs="Arial"/>
          <w:sz w:val="24"/>
          <w:lang w:val="en-CA"/>
        </w:rPr>
        <w:t xml:space="preserve">Leon’s evidence and rejecting Mr. Dhillon’s.  </w:t>
      </w:r>
    </w:p>
    <w:p w14:paraId="1879E60E" w14:textId="3CA1C4B0" w:rsidR="002E14CE" w:rsidRPr="0019776A" w:rsidRDefault="00D2660E" w:rsidP="00EF10C2">
      <w:pPr>
        <w:pStyle w:val="ListParagraph"/>
        <w:numPr>
          <w:ilvl w:val="0"/>
          <w:numId w:val="8"/>
        </w:numPr>
        <w:spacing w:after="240" w:line="276" w:lineRule="auto"/>
        <w:ind w:left="360"/>
        <w:contextualSpacing w:val="0"/>
        <w:jc w:val="both"/>
        <w:rPr>
          <w:rFonts w:ascii="Arial" w:hAnsi="Arial" w:cs="Arial"/>
          <w:sz w:val="24"/>
          <w:lang w:val="en-CA"/>
        </w:rPr>
      </w:pPr>
      <w:r w:rsidRPr="0019776A">
        <w:rPr>
          <w:rFonts w:ascii="Arial" w:hAnsi="Arial" w:cs="Arial"/>
          <w:sz w:val="24"/>
          <w:lang w:val="en-CA"/>
        </w:rPr>
        <w:t>F</w:t>
      </w:r>
      <w:r w:rsidR="002E14CE" w:rsidRPr="0019776A">
        <w:rPr>
          <w:rFonts w:ascii="Arial" w:hAnsi="Arial" w:cs="Arial"/>
          <w:sz w:val="24"/>
          <w:lang w:val="en-CA"/>
        </w:rPr>
        <w:t>irst, she summarized the applicable duty of care and standard of care, derivative from both statute and the common law (at paras. 11-36)</w:t>
      </w:r>
      <w:r w:rsidR="00C11E12">
        <w:rPr>
          <w:rFonts w:ascii="Arial" w:hAnsi="Arial" w:cs="Arial"/>
          <w:sz w:val="24"/>
          <w:lang w:val="en-CA"/>
        </w:rPr>
        <w:t>, addressing the law with regard to rear-end accidents</w:t>
      </w:r>
      <w:r w:rsidR="00756FC0">
        <w:rPr>
          <w:rFonts w:ascii="Arial" w:hAnsi="Arial" w:cs="Arial"/>
          <w:sz w:val="24"/>
          <w:lang w:val="en-CA"/>
        </w:rPr>
        <w:t xml:space="preserve"> and the burden of proof. </w:t>
      </w:r>
      <w:r w:rsidR="00C11E12">
        <w:rPr>
          <w:rFonts w:ascii="Arial" w:hAnsi="Arial" w:cs="Arial"/>
          <w:sz w:val="24"/>
          <w:lang w:val="en-CA"/>
        </w:rPr>
        <w:t xml:space="preserve"> </w:t>
      </w:r>
    </w:p>
    <w:p w14:paraId="55BC7595" w14:textId="36ADCEF2" w:rsidR="002E14CE" w:rsidRPr="00C736A8" w:rsidRDefault="00756FC0" w:rsidP="00CE0879">
      <w:pPr>
        <w:pStyle w:val="scjquote"/>
        <w:shd w:val="clear" w:color="auto" w:fill="FFFFFF"/>
        <w:spacing w:before="0" w:beforeAutospacing="0" w:after="360" w:afterAutospacing="0"/>
        <w:ind w:left="720" w:right="720"/>
        <w:rPr>
          <w:rFonts w:ascii="Arial" w:hAnsi="Arial" w:cs="Arial"/>
          <w:i/>
          <w:sz w:val="22"/>
          <w:szCs w:val="22"/>
          <w:lang w:val="en-CA"/>
        </w:rPr>
      </w:pPr>
      <w:r>
        <w:rPr>
          <w:rFonts w:ascii="Arial" w:hAnsi="Arial" w:cs="Arial"/>
          <w:i/>
          <w:sz w:val="22"/>
          <w:szCs w:val="22"/>
          <w:lang w:val="en-CA"/>
        </w:rPr>
        <w:t>…</w:t>
      </w:r>
      <w:r w:rsidR="002E14CE" w:rsidRPr="00C736A8">
        <w:rPr>
          <w:rFonts w:ascii="Arial" w:hAnsi="Arial" w:cs="Arial"/>
          <w:i/>
          <w:sz w:val="22"/>
          <w:szCs w:val="22"/>
          <w:lang w:val="en-CA"/>
        </w:rPr>
        <w:t> One way in which a driver of a rear</w:t>
      </w:r>
      <w:r w:rsidR="002E14CE" w:rsidRPr="00C736A8">
        <w:rPr>
          <w:rFonts w:ascii="Arial" w:hAnsi="Arial" w:cs="Arial"/>
          <w:i/>
          <w:sz w:val="22"/>
          <w:szCs w:val="22"/>
          <w:lang w:val="en-CA"/>
        </w:rPr>
        <w:noBreakHyphen/>
        <w:t>ending vehicle may discharge the onus of showing he was not negligent is to show that the driver of the front vehicle suddenly changed lanes in front of him, not allowing sufficient time to stop</w:t>
      </w:r>
      <w:r>
        <w:rPr>
          <w:rFonts w:ascii="Arial" w:hAnsi="Arial" w:cs="Arial"/>
          <w:i/>
          <w:sz w:val="22"/>
          <w:szCs w:val="22"/>
          <w:lang w:val="en-CA"/>
        </w:rPr>
        <w:t>…</w:t>
      </w:r>
      <w:r w:rsidR="002E14CE" w:rsidRPr="00C736A8">
        <w:rPr>
          <w:rFonts w:ascii="Arial" w:hAnsi="Arial" w:cs="Arial"/>
          <w:i/>
          <w:sz w:val="22"/>
          <w:szCs w:val="22"/>
          <w:lang w:val="en-CA"/>
        </w:rPr>
        <w:t>.</w:t>
      </w:r>
    </w:p>
    <w:p w14:paraId="290DEC87" w14:textId="444160DD" w:rsidR="00E60D0F" w:rsidRPr="0019776A" w:rsidRDefault="00756FC0" w:rsidP="00EF10C2">
      <w:pPr>
        <w:pStyle w:val="ListParagraph"/>
        <w:numPr>
          <w:ilvl w:val="0"/>
          <w:numId w:val="26"/>
        </w:numPr>
        <w:tabs>
          <w:tab w:val="clear" w:pos="720"/>
          <w:tab w:val="num" w:pos="360"/>
        </w:tabs>
        <w:spacing w:after="240" w:line="276" w:lineRule="auto"/>
        <w:ind w:left="360" w:right="720"/>
        <w:jc w:val="both"/>
        <w:rPr>
          <w:rFonts w:ascii="Arial" w:hAnsi="Arial" w:cs="Arial"/>
          <w:sz w:val="24"/>
          <w:lang w:val="en-CA"/>
        </w:rPr>
      </w:pPr>
      <w:r>
        <w:rPr>
          <w:rFonts w:ascii="Arial" w:hAnsi="Arial" w:cs="Arial"/>
          <w:sz w:val="24"/>
          <w:lang w:val="en-CA"/>
        </w:rPr>
        <w:t>M</w:t>
      </w:r>
      <w:r w:rsidR="00E60D0F" w:rsidRPr="0019776A">
        <w:rPr>
          <w:rFonts w:ascii="Arial" w:hAnsi="Arial" w:cs="Arial"/>
          <w:sz w:val="24"/>
          <w:lang w:val="en-CA"/>
        </w:rPr>
        <w:t xml:space="preserve">arzari, J. correctly identified the disputed facts she was tasked with finding (at paras. 37-38): </w:t>
      </w:r>
    </w:p>
    <w:p w14:paraId="1637C532" w14:textId="77777777" w:rsidR="00E60D0F" w:rsidRPr="0019776A" w:rsidRDefault="00E60D0F" w:rsidP="00CE0879">
      <w:pPr>
        <w:shd w:val="clear" w:color="auto" w:fill="FFFFFF"/>
        <w:spacing w:after="240"/>
        <w:ind w:left="720" w:right="720"/>
        <w:rPr>
          <w:rFonts w:ascii="Arial" w:eastAsia="Times New Roman" w:hAnsi="Arial" w:cs="Arial"/>
          <w:i/>
          <w:color w:val="000000"/>
          <w:lang w:val="en-CA"/>
        </w:rPr>
      </w:pPr>
      <w:r w:rsidRPr="0019776A">
        <w:rPr>
          <w:rFonts w:ascii="Arial" w:eastAsia="Times New Roman" w:hAnsi="Arial" w:cs="Arial"/>
          <w:i/>
          <w:color w:val="000000"/>
          <w:lang w:val="en-CA"/>
        </w:rPr>
        <w:t>[</w:t>
      </w:r>
      <w:bookmarkStart w:id="13" w:name="par37"/>
      <w:r w:rsidRPr="0019776A">
        <w:rPr>
          <w:rFonts w:ascii="Arial" w:eastAsia="Times New Roman" w:hAnsi="Arial" w:cs="Arial"/>
          <w:i/>
          <w:color w:val="000000"/>
          <w:lang w:val="en-CA"/>
        </w:rPr>
        <w:t>37</w:t>
      </w:r>
      <w:bookmarkEnd w:id="13"/>
      <w:r w:rsidRPr="0019776A">
        <w:rPr>
          <w:rFonts w:ascii="Arial" w:eastAsia="Times New Roman" w:hAnsi="Arial" w:cs="Arial"/>
          <w:i/>
          <w:color w:val="000000"/>
          <w:lang w:val="en-CA"/>
        </w:rPr>
        <w:t>]        On the basis of the above case law, it is necessary for me to determine first whether Mr. Uy has established on the evidence that Mr. Dhillon encroached into his lane or path of travel suddenly and without warning causing him to lose control of his vehicle. As I stated above, this largely involved the resolution of factual questions and depends on my interpretation of the physical evidence and my assessment of the credibility of Ms. De Leon and Mr. Dhillon where their accounts differ.</w:t>
      </w:r>
    </w:p>
    <w:p w14:paraId="7494D3F2" w14:textId="77777777" w:rsidR="00E60D0F" w:rsidRPr="0019776A" w:rsidRDefault="00E60D0F" w:rsidP="00CE0879">
      <w:pPr>
        <w:shd w:val="clear" w:color="auto" w:fill="FFFFFF"/>
        <w:spacing w:after="240"/>
        <w:ind w:left="720" w:right="720"/>
        <w:rPr>
          <w:rFonts w:ascii="Arial" w:eastAsia="Times New Roman" w:hAnsi="Arial" w:cs="Arial"/>
          <w:i/>
          <w:color w:val="000000"/>
          <w:lang w:val="en-CA"/>
        </w:rPr>
      </w:pPr>
      <w:r w:rsidRPr="0019776A">
        <w:rPr>
          <w:rFonts w:ascii="Arial" w:eastAsia="Times New Roman" w:hAnsi="Arial" w:cs="Arial"/>
          <w:i/>
          <w:color w:val="000000"/>
          <w:lang w:val="en-CA"/>
        </w:rPr>
        <w:t>[</w:t>
      </w:r>
      <w:bookmarkStart w:id="14" w:name="par38"/>
      <w:r w:rsidRPr="0019776A">
        <w:rPr>
          <w:rFonts w:ascii="Arial" w:eastAsia="Times New Roman" w:hAnsi="Arial" w:cs="Arial"/>
          <w:i/>
          <w:color w:val="000000"/>
          <w:lang w:val="en-CA"/>
        </w:rPr>
        <w:t>38</w:t>
      </w:r>
      <w:bookmarkEnd w:id="14"/>
      <w:r w:rsidRPr="0019776A">
        <w:rPr>
          <w:rFonts w:ascii="Arial" w:eastAsia="Times New Roman" w:hAnsi="Arial" w:cs="Arial"/>
          <w:i/>
          <w:color w:val="000000"/>
          <w:lang w:val="en-CA"/>
        </w:rPr>
        <w:t>]        The main areas of contention that I must resolve on the evidence to reach a conclusion in this regard are:</w:t>
      </w:r>
    </w:p>
    <w:p w14:paraId="0C93E161" w14:textId="77777777" w:rsidR="00E60D0F" w:rsidRPr="0019776A" w:rsidRDefault="00E60D0F" w:rsidP="002E68DE">
      <w:pPr>
        <w:shd w:val="clear" w:color="auto" w:fill="FFFFFF"/>
        <w:spacing w:after="240"/>
        <w:ind w:left="1440" w:right="1440"/>
        <w:rPr>
          <w:rFonts w:ascii="Arial" w:eastAsia="Times New Roman" w:hAnsi="Arial" w:cs="Arial"/>
          <w:i/>
          <w:color w:val="000000"/>
          <w:lang w:val="en-CA"/>
        </w:rPr>
      </w:pPr>
      <w:r w:rsidRPr="0019776A">
        <w:rPr>
          <w:rFonts w:ascii="Arial" w:eastAsia="Times New Roman" w:hAnsi="Arial" w:cs="Arial"/>
          <w:i/>
          <w:color w:val="000000"/>
          <w:lang w:val="en-CA"/>
        </w:rPr>
        <w:t>a)   Whether the highway was operating as two lanes or three lanes at the time of the collision;</w:t>
      </w:r>
    </w:p>
    <w:p w14:paraId="203A0076" w14:textId="77777777" w:rsidR="00E60D0F" w:rsidRPr="0019776A" w:rsidRDefault="00E60D0F" w:rsidP="002E68DE">
      <w:pPr>
        <w:shd w:val="clear" w:color="auto" w:fill="FFFFFF"/>
        <w:spacing w:after="240"/>
        <w:ind w:left="1440" w:right="1440"/>
        <w:rPr>
          <w:rFonts w:ascii="Arial" w:eastAsia="Times New Roman" w:hAnsi="Arial" w:cs="Arial"/>
          <w:i/>
          <w:color w:val="000000"/>
          <w:lang w:val="en-CA"/>
        </w:rPr>
      </w:pPr>
      <w:r w:rsidRPr="0019776A">
        <w:rPr>
          <w:rFonts w:ascii="Arial" w:eastAsia="Times New Roman" w:hAnsi="Arial" w:cs="Arial"/>
          <w:i/>
          <w:color w:val="000000"/>
          <w:lang w:val="en-CA"/>
        </w:rPr>
        <w:t>b)   The likely location of the impact;</w:t>
      </w:r>
    </w:p>
    <w:p w14:paraId="6C306783" w14:textId="77777777" w:rsidR="00E60D0F" w:rsidRPr="0019776A" w:rsidRDefault="00E60D0F" w:rsidP="002E68DE">
      <w:pPr>
        <w:shd w:val="clear" w:color="auto" w:fill="FFFFFF"/>
        <w:spacing w:after="240"/>
        <w:ind w:left="1440" w:right="1440"/>
        <w:rPr>
          <w:rFonts w:ascii="Arial" w:eastAsia="Times New Roman" w:hAnsi="Arial" w:cs="Arial"/>
          <w:i/>
          <w:color w:val="000000"/>
          <w:lang w:val="en-CA"/>
        </w:rPr>
      </w:pPr>
      <w:r w:rsidRPr="0019776A">
        <w:rPr>
          <w:rFonts w:ascii="Arial" w:eastAsia="Times New Roman" w:hAnsi="Arial" w:cs="Arial"/>
          <w:i/>
          <w:color w:val="000000"/>
          <w:lang w:val="en-CA"/>
        </w:rPr>
        <w:t>c)   Where each of the involved vehicles were located immediately before the impact; and</w:t>
      </w:r>
    </w:p>
    <w:p w14:paraId="17FFF2B8" w14:textId="77777777" w:rsidR="00E60D0F" w:rsidRPr="0019776A" w:rsidRDefault="00E60D0F" w:rsidP="002E68DE">
      <w:pPr>
        <w:shd w:val="clear" w:color="auto" w:fill="FFFFFF"/>
        <w:spacing w:after="240"/>
        <w:ind w:left="1440" w:right="1440"/>
        <w:rPr>
          <w:rFonts w:ascii="Arial" w:eastAsia="Times New Roman" w:hAnsi="Arial" w:cs="Arial"/>
          <w:i/>
          <w:color w:val="000000"/>
          <w:szCs w:val="27"/>
          <w:lang w:val="en-CA"/>
        </w:rPr>
      </w:pPr>
      <w:r w:rsidRPr="0019776A">
        <w:rPr>
          <w:rFonts w:ascii="Arial" w:eastAsia="Times New Roman" w:hAnsi="Arial" w:cs="Arial"/>
          <w:i/>
          <w:color w:val="000000"/>
          <w:lang w:val="en-CA"/>
        </w:rPr>
        <w:t>d)   Ultimately, whether Mr. Dhillon was established in his lane at the time of the collision or whether he was suddenly and without warning moving to the left encroaching on Mr. Uy's primarily lane of travel just prior to the collision.</w:t>
      </w:r>
    </w:p>
    <w:p w14:paraId="510F467F" w14:textId="59647710" w:rsidR="00E60D0F" w:rsidRPr="0019776A" w:rsidRDefault="00E60D0F" w:rsidP="00EF10C2">
      <w:pPr>
        <w:pStyle w:val="ListParagraph"/>
        <w:numPr>
          <w:ilvl w:val="0"/>
          <w:numId w:val="26"/>
        </w:numPr>
        <w:tabs>
          <w:tab w:val="clear" w:pos="720"/>
          <w:tab w:val="num" w:pos="360"/>
        </w:tabs>
        <w:spacing w:after="240" w:line="276" w:lineRule="auto"/>
        <w:ind w:left="360"/>
        <w:jc w:val="both"/>
        <w:rPr>
          <w:rFonts w:ascii="Arial" w:hAnsi="Arial" w:cs="Arial"/>
          <w:sz w:val="24"/>
          <w:lang w:val="en-CA"/>
        </w:rPr>
      </w:pPr>
      <w:r w:rsidRPr="0019776A">
        <w:rPr>
          <w:rFonts w:ascii="Arial" w:hAnsi="Arial" w:cs="Arial"/>
          <w:sz w:val="24"/>
          <w:lang w:val="en-CA"/>
        </w:rPr>
        <w:t>What happened in the moments before the collision ultimately came down to a credibility contest between Ms. De</w:t>
      </w:r>
      <w:r w:rsidR="002E68DE">
        <w:rPr>
          <w:rFonts w:ascii="Arial" w:hAnsi="Arial" w:cs="Arial"/>
          <w:sz w:val="24"/>
          <w:lang w:val="en-CA"/>
        </w:rPr>
        <w:t xml:space="preserve"> </w:t>
      </w:r>
      <w:r w:rsidRPr="0019776A">
        <w:rPr>
          <w:rFonts w:ascii="Arial" w:hAnsi="Arial" w:cs="Arial"/>
          <w:sz w:val="24"/>
          <w:lang w:val="en-CA"/>
        </w:rPr>
        <w:t xml:space="preserve">Leon and Mr. Dhillon.  Mr. Dhillon was inconsistent in his evidence under Oath on five material issues, and Ms. DeLeon had no vested interest in the outcome of liability, since she was a passenger and had sued both Mr. Dhillon and </w:t>
      </w:r>
      <w:proofErr w:type="spellStart"/>
      <w:r w:rsidRPr="0019776A">
        <w:rPr>
          <w:rFonts w:ascii="Arial" w:hAnsi="Arial" w:cs="Arial"/>
          <w:sz w:val="24"/>
          <w:lang w:val="en-CA"/>
        </w:rPr>
        <w:t>Johnberlyn</w:t>
      </w:r>
      <w:proofErr w:type="spellEnd"/>
      <w:r w:rsidRPr="0019776A">
        <w:rPr>
          <w:rFonts w:ascii="Arial" w:hAnsi="Arial" w:cs="Arial"/>
          <w:sz w:val="24"/>
          <w:lang w:val="en-CA"/>
        </w:rPr>
        <w:t xml:space="preserve">.  The trial judge’s conclusions: </w:t>
      </w:r>
    </w:p>
    <w:p w14:paraId="5210652E" w14:textId="77777777" w:rsidR="00E60D0F" w:rsidRPr="0019776A" w:rsidRDefault="00E60D0F" w:rsidP="00FB58ED">
      <w:pPr>
        <w:shd w:val="clear" w:color="auto" w:fill="FFFFFF"/>
        <w:spacing w:after="240"/>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w:t>
      </w:r>
      <w:bookmarkStart w:id="15" w:name="par158"/>
      <w:r w:rsidRPr="0019776A">
        <w:rPr>
          <w:rFonts w:ascii="Arial" w:eastAsia="Times New Roman" w:hAnsi="Arial" w:cs="Arial"/>
          <w:i/>
          <w:color w:val="000000"/>
          <w:lang w:val="en-CA"/>
        </w:rPr>
        <w:t>158</w:t>
      </w:r>
      <w:bookmarkEnd w:id="15"/>
      <w:r w:rsidRPr="0019776A">
        <w:rPr>
          <w:rFonts w:ascii="Arial" w:eastAsia="Times New Roman" w:hAnsi="Arial" w:cs="Arial"/>
          <w:i/>
          <w:color w:val="000000"/>
          <w:lang w:val="en-CA"/>
        </w:rPr>
        <w:t>]     I have not reviewed all of Mr. Dhillon's inconsistencies and inaccuracies in his evidence. I think it is sufficient to say that where the evidence of Ms. De Leon and Mr. Dhillon conflict, I prefer the evidence of Ms. De Leon.</w:t>
      </w:r>
    </w:p>
    <w:p w14:paraId="4E25C1F4" w14:textId="77777777" w:rsidR="00756FC0" w:rsidRDefault="00756FC0" w:rsidP="00FB58ED">
      <w:pPr>
        <w:shd w:val="clear" w:color="auto" w:fill="FFFFFF"/>
        <w:spacing w:after="240"/>
        <w:ind w:left="720" w:right="720"/>
        <w:jc w:val="both"/>
        <w:rPr>
          <w:rFonts w:ascii="Arial" w:eastAsia="Times New Roman" w:hAnsi="Arial" w:cs="Arial"/>
          <w:i/>
          <w:color w:val="000000"/>
          <w:lang w:val="en-CA"/>
        </w:rPr>
      </w:pPr>
      <w:r>
        <w:rPr>
          <w:rFonts w:ascii="Arial" w:eastAsia="Times New Roman" w:hAnsi="Arial" w:cs="Arial"/>
          <w:i/>
          <w:color w:val="000000"/>
          <w:lang w:val="en-CA"/>
        </w:rPr>
        <w:t>…</w:t>
      </w:r>
    </w:p>
    <w:p w14:paraId="1A602261" w14:textId="0D59EEAB" w:rsidR="00E60D0F" w:rsidRDefault="00E60D0F" w:rsidP="00FB58ED">
      <w:pPr>
        <w:shd w:val="clear" w:color="auto" w:fill="FFFFFF"/>
        <w:spacing w:after="240"/>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w:t>
      </w:r>
      <w:bookmarkStart w:id="16" w:name="par167"/>
      <w:r w:rsidRPr="0019776A">
        <w:rPr>
          <w:rFonts w:ascii="Arial" w:eastAsia="Times New Roman" w:hAnsi="Arial" w:cs="Arial"/>
          <w:i/>
          <w:color w:val="000000"/>
          <w:lang w:val="en-CA"/>
        </w:rPr>
        <w:t>167</w:t>
      </w:r>
      <w:bookmarkEnd w:id="16"/>
      <w:r w:rsidRPr="0019776A">
        <w:rPr>
          <w:rFonts w:ascii="Arial" w:eastAsia="Times New Roman" w:hAnsi="Arial" w:cs="Arial"/>
          <w:i/>
          <w:color w:val="000000"/>
          <w:lang w:val="en-CA"/>
        </w:rPr>
        <w:t>]     Given Mr. Dhillon's carelessness to the traffic approaching from behind and the many self</w:t>
      </w:r>
      <w:r w:rsidRPr="0019776A">
        <w:rPr>
          <w:rFonts w:ascii="Arial" w:eastAsia="Times New Roman" w:hAnsi="Arial" w:cs="Arial"/>
          <w:i/>
          <w:color w:val="000000"/>
          <w:lang w:val="en-CA"/>
        </w:rPr>
        <w:noBreakHyphen/>
        <w:t>serving discrepancies in his evidence, I cannot accept his evidence over that of Ms. De Leon as to whether he was signalling.</w:t>
      </w:r>
    </w:p>
    <w:p w14:paraId="7513A506" w14:textId="77777777" w:rsidR="003D3C21" w:rsidRPr="0019776A" w:rsidRDefault="003D3C21" w:rsidP="00FB58ED">
      <w:pPr>
        <w:shd w:val="clear" w:color="auto" w:fill="FFFFFF"/>
        <w:spacing w:after="240"/>
        <w:ind w:left="720" w:right="720"/>
        <w:jc w:val="both"/>
        <w:outlineLvl w:val="1"/>
        <w:rPr>
          <w:rFonts w:ascii="Arial" w:eastAsia="Times New Roman" w:hAnsi="Arial" w:cs="Arial"/>
          <w:b/>
          <w:bCs/>
          <w:i/>
          <w:color w:val="000000"/>
          <w:lang w:val="en-CA"/>
        </w:rPr>
      </w:pPr>
      <w:r w:rsidRPr="0019776A">
        <w:rPr>
          <w:rFonts w:ascii="Arial" w:eastAsia="Times New Roman" w:hAnsi="Arial" w:cs="Arial"/>
          <w:b/>
          <w:bCs/>
          <w:i/>
          <w:color w:val="000000"/>
          <w:lang w:val="en-CA"/>
        </w:rPr>
        <w:t>Mr. Uy's Evasive Action</w:t>
      </w:r>
    </w:p>
    <w:p w14:paraId="0DAEC374" w14:textId="77777777" w:rsidR="003D3C21" w:rsidRPr="0019776A" w:rsidRDefault="003D3C21" w:rsidP="00FB58ED">
      <w:pPr>
        <w:shd w:val="clear" w:color="auto" w:fill="FFFFFF"/>
        <w:spacing w:after="240"/>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w:t>
      </w:r>
      <w:bookmarkStart w:id="17" w:name="par168"/>
      <w:r w:rsidRPr="0019776A">
        <w:rPr>
          <w:rFonts w:ascii="Arial" w:eastAsia="Times New Roman" w:hAnsi="Arial" w:cs="Arial"/>
          <w:i/>
          <w:color w:val="000000"/>
          <w:lang w:val="en-CA"/>
        </w:rPr>
        <w:t>168</w:t>
      </w:r>
      <w:bookmarkEnd w:id="17"/>
      <w:r w:rsidRPr="0019776A">
        <w:rPr>
          <w:rFonts w:ascii="Arial" w:eastAsia="Times New Roman" w:hAnsi="Arial" w:cs="Arial"/>
          <w:i/>
          <w:color w:val="000000"/>
          <w:lang w:val="en-CA"/>
        </w:rPr>
        <w:t>]     I have found that Mr. Dhillon's tractor</w:t>
      </w:r>
      <w:r w:rsidRPr="0019776A">
        <w:rPr>
          <w:rFonts w:ascii="Arial" w:eastAsia="Times New Roman" w:hAnsi="Arial" w:cs="Arial"/>
          <w:i/>
          <w:color w:val="000000"/>
          <w:lang w:val="en-CA"/>
        </w:rPr>
        <w:noBreakHyphen/>
        <w:t>trailer combination encroached on Mr. Uy's lane of travel suddenly and without warning. I find that in reaction and in order to evade this sudden and unexpected hazard, Mr. Uy steered aggressively to the right in the opposite direction he saw that the tractor trailer was moving. Mr. Uy lost control of the car, and it rotated clockwise hitting the rear left corner of the tractor trailer in the driver area and causing his injuries.</w:t>
      </w:r>
    </w:p>
    <w:p w14:paraId="048CFEC1" w14:textId="77777777" w:rsidR="003D3C21" w:rsidRPr="0019776A" w:rsidRDefault="003D3C21" w:rsidP="00FB58ED">
      <w:pPr>
        <w:shd w:val="clear" w:color="auto" w:fill="FFFFFF"/>
        <w:spacing w:after="240"/>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w:t>
      </w:r>
      <w:bookmarkStart w:id="18" w:name="par169"/>
      <w:r w:rsidRPr="0019776A">
        <w:rPr>
          <w:rFonts w:ascii="Arial" w:eastAsia="Times New Roman" w:hAnsi="Arial" w:cs="Arial"/>
          <w:i/>
          <w:color w:val="000000"/>
          <w:lang w:val="en-CA"/>
        </w:rPr>
        <w:t>169</w:t>
      </w:r>
      <w:bookmarkEnd w:id="18"/>
      <w:r w:rsidRPr="0019776A">
        <w:rPr>
          <w:rFonts w:ascii="Arial" w:eastAsia="Times New Roman" w:hAnsi="Arial" w:cs="Arial"/>
          <w:i/>
          <w:color w:val="000000"/>
          <w:lang w:val="en-CA"/>
        </w:rPr>
        <w:t>]     In this moment, it was not incumbent on Mr. Uy to pick the best type of evasive action. Mr. Dhillon says that Mr. Uy could have and should have moved to his left, where Mr. Dhillon says the left lane was not obstructed. Indeed Mr. Dinn's final opinions about the likely cause of the accident, which I have rejected, are premised on this presumption.</w:t>
      </w:r>
    </w:p>
    <w:p w14:paraId="3015DBC6" w14:textId="10F422E3" w:rsidR="003D3C21" w:rsidRDefault="003D3C21" w:rsidP="00FB58ED">
      <w:pPr>
        <w:shd w:val="clear" w:color="auto" w:fill="FFFFFF"/>
        <w:spacing w:after="240"/>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w:t>
      </w:r>
      <w:bookmarkStart w:id="19" w:name="par170"/>
      <w:r w:rsidRPr="0019776A">
        <w:rPr>
          <w:rFonts w:ascii="Arial" w:eastAsia="Times New Roman" w:hAnsi="Arial" w:cs="Arial"/>
          <w:i/>
          <w:color w:val="000000"/>
          <w:lang w:val="en-CA"/>
        </w:rPr>
        <w:t>170</w:t>
      </w:r>
      <w:bookmarkEnd w:id="19"/>
      <w:r w:rsidRPr="0019776A">
        <w:rPr>
          <w:rFonts w:ascii="Arial" w:eastAsia="Times New Roman" w:hAnsi="Arial" w:cs="Arial"/>
          <w:i/>
          <w:color w:val="000000"/>
          <w:lang w:val="en-CA"/>
        </w:rPr>
        <w:t>]     However, it is not clear to me, and it would not have been clear to Mr. Uy, that moving to the left, the same direction as the tractor</w:t>
      </w:r>
      <w:r w:rsidRPr="0019776A">
        <w:rPr>
          <w:rFonts w:ascii="Arial" w:eastAsia="Times New Roman" w:hAnsi="Arial" w:cs="Arial"/>
          <w:i/>
          <w:color w:val="000000"/>
          <w:lang w:val="en-CA"/>
        </w:rPr>
        <w:noBreakHyphen/>
        <w:t xml:space="preserve">trailer was moving, would have been a safer option. I have found that Mr. Dhillon was moving to the left to overtake a large Super B combination that itself was shifted to the left by a </w:t>
      </w:r>
      <w:proofErr w:type="gramStart"/>
      <w:r w:rsidRPr="0019776A">
        <w:rPr>
          <w:rFonts w:ascii="Arial" w:eastAsia="Times New Roman" w:hAnsi="Arial" w:cs="Arial"/>
          <w:i/>
          <w:color w:val="000000"/>
          <w:lang w:val="en-CA"/>
        </w:rPr>
        <w:t>snow bank</w:t>
      </w:r>
      <w:proofErr w:type="gramEnd"/>
      <w:r w:rsidRPr="0019776A">
        <w:rPr>
          <w:rFonts w:ascii="Arial" w:eastAsia="Times New Roman" w:hAnsi="Arial" w:cs="Arial"/>
          <w:i/>
          <w:color w:val="000000"/>
          <w:lang w:val="en-CA"/>
        </w:rPr>
        <w:t xml:space="preserve"> in the right lane that Mr. Dhillon was not aware of. In order to overtake this Super B, Mr. Dhillon was required to continue to move further to the left and I find he was in the process of doing at the time of impact.</w:t>
      </w:r>
    </w:p>
    <w:p w14:paraId="519D1478" w14:textId="77777777" w:rsidR="003D3C21" w:rsidRPr="0019776A" w:rsidRDefault="003D3C21" w:rsidP="00FB58ED">
      <w:pPr>
        <w:shd w:val="clear" w:color="auto" w:fill="FFFFFF"/>
        <w:spacing w:after="120"/>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w:t>
      </w:r>
      <w:bookmarkStart w:id="20" w:name="par171"/>
      <w:r w:rsidRPr="0019776A">
        <w:rPr>
          <w:rFonts w:ascii="Arial" w:eastAsia="Times New Roman" w:hAnsi="Arial" w:cs="Arial"/>
          <w:i/>
          <w:color w:val="000000"/>
          <w:lang w:val="en-CA"/>
        </w:rPr>
        <w:t>171</w:t>
      </w:r>
      <w:bookmarkEnd w:id="20"/>
      <w:r w:rsidRPr="0019776A">
        <w:rPr>
          <w:rFonts w:ascii="Arial" w:eastAsia="Times New Roman" w:hAnsi="Arial" w:cs="Arial"/>
          <w:i/>
          <w:color w:val="000000"/>
          <w:lang w:val="en-CA"/>
        </w:rPr>
        <w:t>]     As has often been quoted from </w:t>
      </w:r>
      <w:r w:rsidRPr="0019776A">
        <w:rPr>
          <w:rFonts w:ascii="Arial" w:eastAsia="Times New Roman" w:hAnsi="Arial" w:cs="Arial"/>
          <w:i/>
          <w:iCs/>
          <w:color w:val="000000"/>
          <w:lang w:val="en-CA"/>
        </w:rPr>
        <w:t>Brook v. Tod Estate</w:t>
      </w:r>
      <w:r w:rsidRPr="0019776A">
        <w:rPr>
          <w:rFonts w:ascii="Arial" w:eastAsia="Times New Roman" w:hAnsi="Arial" w:cs="Arial"/>
          <w:i/>
          <w:color w:val="000000"/>
          <w:lang w:val="en-CA"/>
        </w:rPr>
        <w:t>, citing </w:t>
      </w:r>
      <w:r w:rsidRPr="0019776A">
        <w:rPr>
          <w:rFonts w:ascii="Arial" w:eastAsia="Times New Roman" w:hAnsi="Arial" w:cs="Arial"/>
          <w:i/>
          <w:iCs/>
          <w:color w:val="000000"/>
          <w:lang w:val="en-CA"/>
        </w:rPr>
        <w:t>Carswell's Manual of Motor Vehicle Law</w:t>
      </w:r>
      <w:r w:rsidRPr="0019776A">
        <w:rPr>
          <w:rFonts w:ascii="Arial" w:eastAsia="Times New Roman" w:hAnsi="Arial" w:cs="Arial"/>
          <w:i/>
          <w:color w:val="000000"/>
          <w:lang w:val="en-CA"/>
        </w:rPr>
        <w:t>, </w:t>
      </w:r>
      <w:r w:rsidRPr="0019776A">
        <w:rPr>
          <w:rFonts w:ascii="Arial" w:eastAsia="Times New Roman" w:hAnsi="Arial" w:cs="Arial"/>
          <w:i/>
          <w:color w:val="212529"/>
          <w:lang w:val="en-CA"/>
        </w:rPr>
        <w:t>, Volume III, 3rd edition, at page 22</w:t>
      </w:r>
      <w:r w:rsidRPr="0019776A">
        <w:rPr>
          <w:rFonts w:ascii="Arial" w:eastAsia="Times New Roman" w:hAnsi="Arial" w:cs="Arial"/>
          <w:i/>
          <w:color w:val="000000"/>
          <w:lang w:val="en-CA"/>
        </w:rPr>
        <w:t>:</w:t>
      </w:r>
    </w:p>
    <w:p w14:paraId="12271BC2" w14:textId="77777777" w:rsidR="003D3C21" w:rsidRPr="0019776A" w:rsidRDefault="003D3C21" w:rsidP="00FB58ED">
      <w:pPr>
        <w:shd w:val="clear" w:color="auto" w:fill="FFFFFF"/>
        <w:spacing w:after="360"/>
        <w:ind w:left="1440" w:right="1440"/>
        <w:jc w:val="both"/>
        <w:rPr>
          <w:rFonts w:ascii="Arial" w:eastAsia="Times New Roman" w:hAnsi="Arial" w:cs="Arial"/>
          <w:i/>
          <w:color w:val="000000"/>
          <w:lang w:val="en-CA"/>
        </w:rPr>
      </w:pPr>
      <w:r w:rsidRPr="0019776A">
        <w:rPr>
          <w:rFonts w:ascii="Arial" w:eastAsia="Times New Roman" w:hAnsi="Arial" w:cs="Arial"/>
          <w:i/>
          <w:color w:val="000000"/>
          <w:lang w:val="en-CA"/>
        </w:rPr>
        <w:t>Where an emergency arises, it is not necessary for a driver to possess extraordinary skill, presence of mind, poise or self</w:t>
      </w:r>
      <w:r w:rsidRPr="0019776A">
        <w:rPr>
          <w:rFonts w:ascii="Arial" w:eastAsia="Times New Roman" w:hAnsi="Arial" w:cs="Arial"/>
          <w:i/>
          <w:color w:val="000000"/>
          <w:lang w:val="en-CA"/>
        </w:rPr>
        <w:noBreakHyphen/>
        <w:t>control, and his failure to act as an ordinary person in an emergency is not held to be negligence. He is not necessarily required to adopt the most prudent course and is entitled to a reasonable time, depending on the circumstances, to exercise his judgment as to what steps should be taken to avoid a collision [citations omitted].</w:t>
      </w:r>
    </w:p>
    <w:p w14:paraId="0160A4FE" w14:textId="77777777" w:rsidR="003D3C21" w:rsidRPr="0019776A" w:rsidRDefault="003D3C21" w:rsidP="00FB58ED">
      <w:pPr>
        <w:shd w:val="clear" w:color="auto" w:fill="FFFFFF"/>
        <w:spacing w:after="240"/>
        <w:ind w:left="720" w:right="720"/>
        <w:jc w:val="both"/>
        <w:rPr>
          <w:rFonts w:ascii="Arial" w:eastAsia="Times New Roman" w:hAnsi="Arial" w:cs="Arial"/>
          <w:i/>
          <w:color w:val="000000"/>
          <w:lang w:val="en-CA"/>
        </w:rPr>
      </w:pPr>
      <w:r w:rsidRPr="0019776A">
        <w:rPr>
          <w:rFonts w:ascii="Arial" w:eastAsia="Times New Roman" w:hAnsi="Arial" w:cs="Arial"/>
          <w:i/>
          <w:color w:val="000000"/>
          <w:lang w:val="en-CA"/>
        </w:rPr>
        <w:t>[</w:t>
      </w:r>
      <w:bookmarkStart w:id="21" w:name="par172"/>
      <w:r w:rsidRPr="0019776A">
        <w:rPr>
          <w:rFonts w:ascii="Arial" w:eastAsia="Times New Roman" w:hAnsi="Arial" w:cs="Arial"/>
          <w:i/>
          <w:color w:val="000000"/>
          <w:lang w:val="en-CA"/>
        </w:rPr>
        <w:t>172</w:t>
      </w:r>
      <w:bookmarkEnd w:id="21"/>
      <w:r w:rsidRPr="0019776A">
        <w:rPr>
          <w:rFonts w:ascii="Arial" w:eastAsia="Times New Roman" w:hAnsi="Arial" w:cs="Arial"/>
          <w:i/>
          <w:color w:val="000000"/>
          <w:lang w:val="en-CA"/>
        </w:rPr>
        <w:t>]     I find nothing careless or negligent in Mr. Uy's spontaneous evasive manoeuvre in the "agony of the collision" to steer aggressively to the right in an attempt to avoid the tractor trailer.</w:t>
      </w:r>
    </w:p>
    <w:p w14:paraId="73A64AA2" w14:textId="77777777" w:rsidR="00C00C38" w:rsidRPr="0019776A" w:rsidRDefault="003D3C21" w:rsidP="00EF10C2">
      <w:pPr>
        <w:pStyle w:val="Default"/>
        <w:numPr>
          <w:ilvl w:val="0"/>
          <w:numId w:val="26"/>
        </w:numPr>
        <w:tabs>
          <w:tab w:val="clear" w:pos="720"/>
          <w:tab w:val="num" w:pos="360"/>
        </w:tabs>
        <w:spacing w:after="200"/>
        <w:ind w:left="360"/>
        <w:jc w:val="both"/>
        <w:rPr>
          <w:rFonts w:ascii="Arial" w:hAnsi="Arial" w:cs="Arial"/>
          <w:lang w:val="en-CA"/>
        </w:rPr>
      </w:pPr>
      <w:r w:rsidRPr="0019776A">
        <w:rPr>
          <w:rFonts w:ascii="Arial" w:hAnsi="Arial" w:cs="Arial"/>
          <w:lang w:val="en-CA"/>
        </w:rPr>
        <w:t xml:space="preserve">Dhillon was found 100% at fault for the collision, and his employer and owner of the tractor-trailer, Day &amp; Ross, vicariously liable for his negligence.  </w:t>
      </w:r>
    </w:p>
    <w:p w14:paraId="4D8A290E" w14:textId="27D171EF" w:rsidR="003D3C21" w:rsidRDefault="003D3C21" w:rsidP="00EF10C2">
      <w:pPr>
        <w:pStyle w:val="Default"/>
        <w:numPr>
          <w:ilvl w:val="0"/>
          <w:numId w:val="26"/>
        </w:numPr>
        <w:tabs>
          <w:tab w:val="clear" w:pos="720"/>
          <w:tab w:val="num" w:pos="360"/>
        </w:tabs>
        <w:spacing w:after="200"/>
        <w:ind w:left="360"/>
        <w:jc w:val="both"/>
        <w:rPr>
          <w:rFonts w:ascii="Arial" w:hAnsi="Arial" w:cs="Arial"/>
          <w:lang w:val="en-CA"/>
        </w:rPr>
      </w:pPr>
      <w:r w:rsidRPr="0019776A">
        <w:rPr>
          <w:rFonts w:ascii="Arial" w:hAnsi="Arial" w:cs="Arial"/>
          <w:lang w:val="en-CA"/>
        </w:rPr>
        <w:t xml:space="preserve">The decision </w:t>
      </w:r>
      <w:r w:rsidR="00673A5F">
        <w:rPr>
          <w:rFonts w:ascii="Arial" w:hAnsi="Arial" w:cs="Arial"/>
          <w:lang w:val="en-CA"/>
        </w:rPr>
        <w:t>was affirmed on</w:t>
      </w:r>
      <w:r w:rsidRPr="0019776A">
        <w:rPr>
          <w:rFonts w:ascii="Arial" w:hAnsi="Arial" w:cs="Arial"/>
          <w:lang w:val="en-CA"/>
        </w:rPr>
        <w:t xml:space="preserve"> appeal</w:t>
      </w:r>
      <w:r w:rsidR="00673A5F">
        <w:rPr>
          <w:rFonts w:ascii="Arial" w:hAnsi="Arial" w:cs="Arial"/>
          <w:lang w:val="en-CA"/>
        </w:rPr>
        <w:t xml:space="preserve"> </w:t>
      </w:r>
      <w:r w:rsidR="00092A9B" w:rsidRPr="00C736A8">
        <w:rPr>
          <w:rFonts w:ascii="Arial" w:hAnsi="Arial" w:cs="Arial"/>
          <w:b/>
          <w:lang w:val="en-CA"/>
        </w:rPr>
        <w:t>-</w:t>
      </w:r>
      <w:r w:rsidR="00673A5F" w:rsidRPr="00C736A8">
        <w:rPr>
          <w:rFonts w:ascii="Arial" w:hAnsi="Arial" w:cs="Arial"/>
          <w:b/>
          <w:lang w:val="en-CA"/>
        </w:rPr>
        <w:t xml:space="preserve"> </w:t>
      </w:r>
      <w:r w:rsidR="00673A5F" w:rsidRPr="00C736A8">
        <w:rPr>
          <w:rFonts w:ascii="Arial" w:hAnsi="Arial" w:cs="Arial"/>
          <w:b/>
          <w:i/>
          <w:lang w:val="en-CA"/>
        </w:rPr>
        <w:t>Uy v. Dhillon</w:t>
      </w:r>
      <w:hyperlink r:id="rId87" w:history="1">
        <w:r w:rsidR="00673A5F" w:rsidRPr="00C736A8">
          <w:rPr>
            <w:rStyle w:val="Hyperlink"/>
            <w:rFonts w:ascii="Arial" w:hAnsi="Arial" w:cs="Arial"/>
            <w:b/>
            <w:u w:val="none"/>
            <w:lang w:val="en-CA"/>
          </w:rPr>
          <w:t>, 2020 BCCA 163</w:t>
        </w:r>
      </w:hyperlink>
      <w:r w:rsidRPr="0019776A">
        <w:rPr>
          <w:rFonts w:ascii="Arial" w:hAnsi="Arial" w:cs="Arial"/>
          <w:lang w:val="en-CA"/>
        </w:rPr>
        <w:t xml:space="preserve">.  </w:t>
      </w:r>
    </w:p>
    <w:p w14:paraId="63C407CB" w14:textId="77777777" w:rsidR="00756FC0" w:rsidRDefault="00756FC0" w:rsidP="00756FC0">
      <w:pPr>
        <w:pStyle w:val="Default"/>
        <w:numPr>
          <w:ilvl w:val="1"/>
          <w:numId w:val="30"/>
        </w:numPr>
        <w:spacing w:after="200"/>
        <w:ind w:hanging="660"/>
        <w:jc w:val="both"/>
        <w:rPr>
          <w:rStyle w:val="Hyperlink"/>
          <w:rFonts w:ascii="Arial" w:hAnsi="Arial" w:cs="Arial"/>
          <w:b/>
          <w:color w:val="auto"/>
          <w:u w:val="none"/>
          <w:lang w:val="en-CA"/>
        </w:rPr>
      </w:pPr>
      <w:r>
        <w:rPr>
          <w:rStyle w:val="Hyperlink"/>
          <w:rFonts w:ascii="Arial" w:hAnsi="Arial" w:cs="Arial"/>
          <w:b/>
          <w:color w:val="auto"/>
          <w:u w:val="none"/>
          <w:lang w:val="en-CA"/>
        </w:rPr>
        <w:t>Liability in the context of Occupier’s liability</w:t>
      </w:r>
    </w:p>
    <w:p w14:paraId="726BE710" w14:textId="77777777" w:rsidR="00756FC0" w:rsidRDefault="00756FC0" w:rsidP="00756FC0">
      <w:pPr>
        <w:pStyle w:val="Default"/>
        <w:numPr>
          <w:ilvl w:val="0"/>
          <w:numId w:val="28"/>
        </w:numPr>
        <w:spacing w:after="200"/>
        <w:jc w:val="both"/>
        <w:rPr>
          <w:rFonts w:ascii="Arial" w:hAnsi="Arial" w:cs="Arial"/>
          <w:color w:val="auto"/>
          <w:lang w:val="en-CA"/>
        </w:rPr>
      </w:pPr>
      <w:r w:rsidRPr="00A15BA4">
        <w:rPr>
          <w:rFonts w:ascii="Arial" w:hAnsi="Arial" w:cs="Arial"/>
          <w:lang w:val="en-CA"/>
        </w:rPr>
        <w:t xml:space="preserve">In a slip, or trip, and fall case the </w:t>
      </w:r>
      <w:hyperlink r:id="rId88" w:history="1">
        <w:r w:rsidRPr="00A15BA4">
          <w:rPr>
            <w:rStyle w:val="Hyperlink"/>
            <w:rFonts w:ascii="Arial" w:hAnsi="Arial" w:cs="Arial"/>
            <w:i/>
            <w:u w:val="none"/>
            <w:lang w:val="en-CA"/>
          </w:rPr>
          <w:t xml:space="preserve">Occupier’s Liability Act, </w:t>
        </w:r>
        <w:r w:rsidRPr="00A15BA4">
          <w:rPr>
            <w:rStyle w:val="Hyperlink"/>
            <w:rFonts w:ascii="Arial" w:hAnsi="Arial" w:cs="Arial"/>
            <w:u w:val="none"/>
            <w:lang w:val="en-CA"/>
          </w:rPr>
          <w:t>RSBC 1996, c. 337</w:t>
        </w:r>
      </w:hyperlink>
      <w:r w:rsidRPr="00A15BA4">
        <w:rPr>
          <w:rFonts w:ascii="Arial" w:hAnsi="Arial" w:cs="Arial"/>
          <w:lang w:val="en-CA"/>
        </w:rPr>
        <w:t xml:space="preserve"> and its provisions are applied</w:t>
      </w:r>
      <w:r w:rsidRPr="00BB1FAD">
        <w:rPr>
          <w:rFonts w:ascii="Arial" w:hAnsi="Arial" w:cs="Arial"/>
          <w:lang w:val="en-CA"/>
        </w:rPr>
        <w:t xml:space="preserve"> </w:t>
      </w:r>
      <w:r>
        <w:rPr>
          <w:rFonts w:ascii="Arial" w:hAnsi="Arial" w:cs="Arial"/>
          <w:lang w:val="en-CA"/>
        </w:rPr>
        <w:t xml:space="preserve">to any property, </w:t>
      </w:r>
      <w:r w:rsidRPr="005708A2">
        <w:rPr>
          <w:rFonts w:ascii="Arial" w:hAnsi="Arial" w:cs="Arial"/>
          <w:lang w:val="en-CA"/>
        </w:rPr>
        <w:t>whether i</w:t>
      </w:r>
      <w:r>
        <w:rPr>
          <w:rFonts w:ascii="Arial" w:hAnsi="Arial" w:cs="Arial"/>
          <w:lang w:val="en-CA"/>
        </w:rPr>
        <w:t>t be i</w:t>
      </w:r>
      <w:r w:rsidRPr="005708A2">
        <w:rPr>
          <w:rFonts w:ascii="Arial" w:hAnsi="Arial" w:cs="Arial"/>
          <w:lang w:val="en-CA"/>
        </w:rPr>
        <w:t>ndoor, outdoor, residential, or commercial</w:t>
      </w:r>
      <w:r>
        <w:rPr>
          <w:rFonts w:ascii="Arial" w:hAnsi="Arial" w:cs="Arial"/>
          <w:lang w:val="en-CA"/>
        </w:rPr>
        <w:t>. S.1 of the</w:t>
      </w:r>
      <w:r w:rsidRPr="00A15BA4">
        <w:rPr>
          <w:rFonts w:ascii="Arial" w:hAnsi="Arial" w:cs="Arial"/>
          <w:color w:val="auto"/>
          <w:lang w:val="en-CA"/>
        </w:rPr>
        <w:t xml:space="preserve"> </w:t>
      </w:r>
      <w:r w:rsidRPr="00A15BA4">
        <w:rPr>
          <w:rFonts w:ascii="Arial" w:hAnsi="Arial" w:cs="Arial"/>
          <w:i/>
          <w:color w:val="auto"/>
          <w:lang w:val="en-CA"/>
        </w:rPr>
        <w:t>Occupier’s Liability Act</w:t>
      </w:r>
      <w:r w:rsidRPr="00A15BA4">
        <w:rPr>
          <w:rFonts w:ascii="Arial" w:hAnsi="Arial" w:cs="Arial"/>
          <w:color w:val="auto"/>
          <w:lang w:val="en-CA"/>
        </w:rPr>
        <w:t xml:space="preserve"> </w:t>
      </w:r>
      <w:r>
        <w:rPr>
          <w:rFonts w:ascii="Arial" w:hAnsi="Arial" w:cs="Arial"/>
          <w:color w:val="auto"/>
          <w:lang w:val="en-CA"/>
        </w:rPr>
        <w:t>defines</w:t>
      </w:r>
      <w:r w:rsidRPr="00A15BA4">
        <w:rPr>
          <w:rFonts w:ascii="Arial" w:hAnsi="Arial" w:cs="Arial"/>
          <w:color w:val="auto"/>
          <w:lang w:val="en-CA"/>
        </w:rPr>
        <w:t xml:space="preserve"> </w:t>
      </w:r>
      <w:r>
        <w:rPr>
          <w:rFonts w:ascii="Arial" w:hAnsi="Arial" w:cs="Arial"/>
          <w:color w:val="auto"/>
          <w:lang w:val="en-CA"/>
        </w:rPr>
        <w:t xml:space="preserve">an </w:t>
      </w:r>
      <w:r w:rsidRPr="00A15BA4">
        <w:rPr>
          <w:rFonts w:ascii="Arial" w:hAnsi="Arial" w:cs="Arial"/>
          <w:color w:val="auto"/>
          <w:lang w:val="en-CA"/>
        </w:rPr>
        <w:t>“occupiers”</w:t>
      </w:r>
      <w:r>
        <w:rPr>
          <w:rFonts w:ascii="Arial" w:hAnsi="Arial" w:cs="Arial"/>
          <w:color w:val="auto"/>
          <w:lang w:val="en-CA"/>
        </w:rPr>
        <w:t xml:space="preserve"> </w:t>
      </w:r>
      <w:r w:rsidRPr="00A15BA4">
        <w:rPr>
          <w:rFonts w:ascii="Arial" w:hAnsi="Arial" w:cs="Arial"/>
          <w:color w:val="auto"/>
          <w:lang w:val="en-CA"/>
        </w:rPr>
        <w:t xml:space="preserve"> s.1, as</w:t>
      </w:r>
      <w:r>
        <w:rPr>
          <w:rFonts w:ascii="Arial" w:hAnsi="Arial" w:cs="Arial"/>
          <w:color w:val="auto"/>
          <w:lang w:val="en-CA"/>
        </w:rPr>
        <w:t xml:space="preserve"> a person who:</w:t>
      </w:r>
    </w:p>
    <w:p w14:paraId="308C355E" w14:textId="77777777" w:rsidR="00756FC0" w:rsidRPr="00BB1FAD" w:rsidRDefault="00756FC0" w:rsidP="00756FC0">
      <w:pPr>
        <w:pStyle w:val="Default"/>
        <w:spacing w:after="200"/>
        <w:ind w:left="990" w:right="720"/>
        <w:jc w:val="both"/>
        <w:rPr>
          <w:rFonts w:ascii="Arial" w:hAnsi="Arial" w:cs="Arial"/>
          <w:i/>
          <w:color w:val="auto"/>
          <w:sz w:val="22"/>
          <w:lang w:val="en-CA"/>
        </w:rPr>
      </w:pPr>
      <w:r w:rsidRPr="00BB1FAD">
        <w:rPr>
          <w:rFonts w:ascii="Arial" w:hAnsi="Arial" w:cs="Arial"/>
          <w:i/>
          <w:color w:val="auto"/>
          <w:sz w:val="22"/>
          <w:lang w:val="en-CA"/>
        </w:rPr>
        <w:t xml:space="preserve">(a) is in physical possession of premises, or  </w:t>
      </w:r>
    </w:p>
    <w:p w14:paraId="0DE82800" w14:textId="77777777" w:rsidR="00756FC0" w:rsidRPr="00BB1FAD" w:rsidRDefault="00756FC0" w:rsidP="00756FC0">
      <w:pPr>
        <w:pStyle w:val="Default"/>
        <w:spacing w:after="200"/>
        <w:ind w:left="990" w:right="720"/>
        <w:jc w:val="both"/>
        <w:rPr>
          <w:rFonts w:ascii="Arial" w:hAnsi="Arial" w:cs="Arial"/>
          <w:i/>
          <w:color w:val="auto"/>
          <w:sz w:val="22"/>
          <w:lang w:val="en-CA"/>
        </w:rPr>
      </w:pPr>
      <w:r w:rsidRPr="00BB1FAD">
        <w:rPr>
          <w:rFonts w:ascii="Arial" w:hAnsi="Arial" w:cs="Arial"/>
          <w:i/>
          <w:color w:val="auto"/>
          <w:sz w:val="22"/>
          <w:lang w:val="en-CA"/>
        </w:rPr>
        <w:t>(b) has responsibility for, and control over, the condition of premises, the activities conducted on those premises and the persons allowed to enter those premises,</w:t>
      </w:r>
    </w:p>
    <w:p w14:paraId="1E533B1A" w14:textId="77777777" w:rsidR="00756FC0" w:rsidRPr="00BB1FAD" w:rsidRDefault="00756FC0" w:rsidP="00756FC0">
      <w:pPr>
        <w:pStyle w:val="Default"/>
        <w:spacing w:after="200"/>
        <w:ind w:left="720" w:right="720"/>
        <w:jc w:val="both"/>
        <w:rPr>
          <w:rFonts w:ascii="Arial" w:hAnsi="Arial" w:cs="Arial"/>
          <w:i/>
          <w:color w:val="auto"/>
          <w:sz w:val="22"/>
          <w:lang w:val="en-CA"/>
        </w:rPr>
      </w:pPr>
      <w:r w:rsidRPr="00BB1FAD">
        <w:rPr>
          <w:rFonts w:ascii="Arial" w:hAnsi="Arial" w:cs="Arial"/>
          <w:i/>
          <w:color w:val="auto"/>
          <w:sz w:val="22"/>
        </w:rPr>
        <w:t>and, for this Act, there may be more than one occupier of the same premises;</w:t>
      </w:r>
    </w:p>
    <w:p w14:paraId="7A0F29A3" w14:textId="77777777" w:rsidR="00756FC0" w:rsidRPr="00BB1FAD" w:rsidRDefault="00756FC0" w:rsidP="00756FC0">
      <w:pPr>
        <w:pStyle w:val="Default"/>
        <w:numPr>
          <w:ilvl w:val="0"/>
          <w:numId w:val="28"/>
        </w:numPr>
        <w:spacing w:after="200"/>
        <w:jc w:val="both"/>
        <w:rPr>
          <w:rFonts w:ascii="Arial" w:hAnsi="Arial" w:cs="Arial"/>
          <w:color w:val="auto"/>
          <w:lang w:val="en-CA"/>
        </w:rPr>
      </w:pPr>
      <w:r>
        <w:rPr>
          <w:rFonts w:ascii="Arial" w:hAnsi="Arial" w:cs="Arial"/>
          <w:lang w:val="en-CA"/>
        </w:rPr>
        <w:t>S. 3(1</w:t>
      </w:r>
      <w:r>
        <w:rPr>
          <w:rFonts w:ascii="Arial" w:hAnsi="Arial" w:cs="Arial"/>
          <w:color w:val="auto"/>
          <w:lang w:val="en-CA"/>
        </w:rPr>
        <w:t xml:space="preserve">) of the </w:t>
      </w:r>
      <w:r w:rsidRPr="005708A2">
        <w:rPr>
          <w:rFonts w:ascii="Arial" w:hAnsi="Arial" w:cs="Arial"/>
          <w:i/>
          <w:lang w:val="en-CA"/>
        </w:rPr>
        <w:t>Act</w:t>
      </w:r>
      <w:r w:rsidRPr="005708A2">
        <w:rPr>
          <w:rFonts w:ascii="Arial" w:hAnsi="Arial" w:cs="Arial"/>
          <w:lang w:val="en-CA"/>
        </w:rPr>
        <w:t xml:space="preserve"> </w:t>
      </w:r>
      <w:r>
        <w:rPr>
          <w:rFonts w:ascii="Arial" w:hAnsi="Arial" w:cs="Arial"/>
          <w:lang w:val="en-CA"/>
        </w:rPr>
        <w:t xml:space="preserve">outlines the duty of care that is imposed on </w:t>
      </w:r>
      <w:r w:rsidRPr="005708A2">
        <w:rPr>
          <w:rFonts w:ascii="Arial" w:hAnsi="Arial" w:cs="Arial"/>
          <w:lang w:val="en-CA"/>
        </w:rPr>
        <w:t>all “occupiers”</w:t>
      </w:r>
      <w:r>
        <w:rPr>
          <w:rFonts w:ascii="Arial" w:hAnsi="Arial" w:cs="Arial"/>
          <w:lang w:val="en-CA"/>
        </w:rPr>
        <w:t>.</w:t>
      </w:r>
      <w:r w:rsidRPr="005708A2">
        <w:rPr>
          <w:rFonts w:ascii="Arial" w:hAnsi="Arial" w:cs="Arial"/>
          <w:lang w:val="en-CA"/>
        </w:rPr>
        <w:t xml:space="preserve"> </w:t>
      </w:r>
      <w:r>
        <w:rPr>
          <w:rFonts w:ascii="Arial" w:hAnsi="Arial" w:cs="Arial"/>
          <w:lang w:val="en-CA"/>
        </w:rPr>
        <w:t>It states that “</w:t>
      </w:r>
      <w:r w:rsidRPr="00BB1FAD">
        <w:rPr>
          <w:rFonts w:ascii="Arial" w:hAnsi="Arial" w:cs="Arial"/>
          <w:i/>
          <w:lang w:val="en-CA"/>
        </w:rPr>
        <w:t>An occupier of premises owes a duty to take that care that in all the circumstances of the case is reasonable to see that a person, and the person's property, on the premises, and property on the premises of a person, whether or not that person personally enters on the premises, will be reasonably safe in using the premises</w:t>
      </w:r>
      <w:r>
        <w:rPr>
          <w:rFonts w:ascii="Arial" w:hAnsi="Arial" w:cs="Arial"/>
          <w:lang w:val="en-CA"/>
        </w:rPr>
        <w:t>”.</w:t>
      </w:r>
    </w:p>
    <w:p w14:paraId="32BD4036" w14:textId="77777777" w:rsidR="00756FC0" w:rsidRPr="00F87EC8" w:rsidRDefault="00756FC0" w:rsidP="00756FC0">
      <w:pPr>
        <w:pStyle w:val="Default"/>
        <w:numPr>
          <w:ilvl w:val="0"/>
          <w:numId w:val="28"/>
        </w:numPr>
        <w:spacing w:after="200"/>
        <w:jc w:val="both"/>
        <w:rPr>
          <w:rFonts w:ascii="Arial" w:hAnsi="Arial" w:cs="Arial"/>
          <w:color w:val="auto"/>
          <w:lang w:val="en-CA"/>
        </w:rPr>
      </w:pPr>
      <w:r>
        <w:rPr>
          <w:rFonts w:ascii="Arial" w:hAnsi="Arial" w:cs="Arial"/>
          <w:lang w:val="en-CA"/>
        </w:rPr>
        <w:t xml:space="preserve">According to s.3(2) of the </w:t>
      </w:r>
      <w:r>
        <w:rPr>
          <w:rFonts w:ascii="Arial" w:hAnsi="Arial" w:cs="Arial"/>
          <w:i/>
          <w:lang w:val="en-CA"/>
        </w:rPr>
        <w:t xml:space="preserve">Act, </w:t>
      </w:r>
      <w:r>
        <w:rPr>
          <w:rFonts w:ascii="Arial" w:hAnsi="Arial" w:cs="Arial"/>
          <w:lang w:val="en-CA"/>
        </w:rPr>
        <w:t>this duty of care applies to the condition of the premises, the activities that take place on the premises, and the conduct of third parties on the premises</w:t>
      </w:r>
      <w:r w:rsidRPr="005708A2">
        <w:rPr>
          <w:rFonts w:ascii="Arial" w:hAnsi="Arial" w:cs="Arial"/>
          <w:lang w:val="en-CA"/>
        </w:rPr>
        <w:t xml:space="preserve">. </w:t>
      </w:r>
    </w:p>
    <w:p w14:paraId="215523F9" w14:textId="77777777" w:rsidR="00756FC0" w:rsidRPr="00F87EC8" w:rsidRDefault="00756FC0" w:rsidP="00756FC0">
      <w:pPr>
        <w:pStyle w:val="Default"/>
        <w:numPr>
          <w:ilvl w:val="0"/>
          <w:numId w:val="28"/>
        </w:numPr>
        <w:spacing w:after="200"/>
        <w:jc w:val="both"/>
        <w:rPr>
          <w:rFonts w:ascii="Arial" w:hAnsi="Arial" w:cs="Arial"/>
          <w:color w:val="auto"/>
          <w:lang w:val="en-CA"/>
        </w:rPr>
      </w:pPr>
      <w:r>
        <w:rPr>
          <w:rFonts w:ascii="Arial" w:hAnsi="Arial" w:cs="Arial"/>
          <w:lang w:val="en-CA"/>
        </w:rPr>
        <w:t xml:space="preserve">S. 3(3) of the </w:t>
      </w:r>
      <w:r>
        <w:rPr>
          <w:rFonts w:ascii="Arial" w:hAnsi="Arial" w:cs="Arial"/>
          <w:i/>
          <w:lang w:val="en-CA"/>
        </w:rPr>
        <w:t xml:space="preserve">Act </w:t>
      </w:r>
      <w:r>
        <w:rPr>
          <w:rFonts w:ascii="Arial" w:hAnsi="Arial" w:cs="Arial"/>
          <w:lang w:val="en-CA"/>
        </w:rPr>
        <w:t>states that an occupier will have no duty of care to a person respecting risks that are willingly assumed by the individual who enters onto the premises. Under this section, the “occupier” will have a duty not to create a danger with intent to do harm to the person or damage to the person’s property, or to act with reckless disregard to the safety of the person o the integrity of the person’s property</w:t>
      </w:r>
    </w:p>
    <w:p w14:paraId="0103EB50" w14:textId="77777777" w:rsidR="00756FC0" w:rsidRPr="00442ACB" w:rsidRDefault="00756FC0" w:rsidP="00756FC0">
      <w:pPr>
        <w:keepNext/>
        <w:keepLines/>
        <w:spacing w:after="240"/>
        <w:ind w:firstLine="180"/>
        <w:rPr>
          <w:rStyle w:val="Hyperlink"/>
          <w:rFonts w:ascii="Arial" w:hAnsi="Arial" w:cs="Arial"/>
          <w:color w:val="auto"/>
          <w:sz w:val="24"/>
          <w:szCs w:val="24"/>
          <w:u w:val="none"/>
          <w:lang w:val="en-CA"/>
        </w:rPr>
      </w:pPr>
      <w:r w:rsidRPr="00442ACB">
        <w:rPr>
          <w:rStyle w:val="Hyperlink"/>
          <w:rFonts w:ascii="Arial" w:hAnsi="Arial" w:cs="Arial"/>
          <w:i/>
          <w:color w:val="auto"/>
          <w:sz w:val="24"/>
          <w:szCs w:val="24"/>
          <w:u w:val="none"/>
          <w:lang w:val="en-CA"/>
        </w:rPr>
        <w:t>Abdi v. Burnaby (City)</w:t>
      </w:r>
      <w:r w:rsidRPr="00442ACB">
        <w:rPr>
          <w:rStyle w:val="Hyperlink"/>
          <w:rFonts w:ascii="Arial" w:hAnsi="Arial" w:cs="Arial"/>
          <w:color w:val="auto"/>
          <w:sz w:val="24"/>
          <w:szCs w:val="24"/>
          <w:u w:val="none"/>
          <w:lang w:val="en-CA"/>
        </w:rPr>
        <w:t xml:space="preserve">, </w:t>
      </w:r>
      <w:hyperlink r:id="rId89" w:history="1">
        <w:r w:rsidRPr="00442ACB">
          <w:rPr>
            <w:rStyle w:val="Hyperlink"/>
            <w:rFonts w:ascii="Arial" w:hAnsi="Arial" w:cs="Arial"/>
            <w:sz w:val="24"/>
            <w:szCs w:val="24"/>
            <w:u w:val="none"/>
            <w:lang w:val="en-CA"/>
          </w:rPr>
          <w:t>2020 BCCA 125</w:t>
        </w:r>
      </w:hyperlink>
    </w:p>
    <w:p w14:paraId="0E66FFBB" w14:textId="77777777" w:rsidR="00756FC0" w:rsidRPr="009C134A" w:rsidRDefault="00756FC0" w:rsidP="00756FC0">
      <w:pPr>
        <w:pStyle w:val="ListParagraph"/>
        <w:numPr>
          <w:ilvl w:val="0"/>
          <w:numId w:val="28"/>
        </w:numPr>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In this decision, the BC Court of Appeal commented on whether or not a municipality may be held liable under the </w:t>
      </w:r>
      <w:r>
        <w:rPr>
          <w:rStyle w:val="Hyperlink"/>
          <w:rFonts w:ascii="Arial" w:hAnsi="Arial" w:cs="Arial"/>
          <w:i/>
          <w:color w:val="auto"/>
          <w:sz w:val="24"/>
          <w:szCs w:val="24"/>
          <w:u w:val="none"/>
          <w:lang w:val="en-CA"/>
        </w:rPr>
        <w:t>Occupier’s Liability Act</w:t>
      </w:r>
      <w:r>
        <w:rPr>
          <w:rStyle w:val="Hyperlink"/>
          <w:rFonts w:ascii="Arial" w:hAnsi="Arial" w:cs="Arial"/>
          <w:color w:val="auto"/>
          <w:sz w:val="24"/>
          <w:szCs w:val="24"/>
          <w:u w:val="none"/>
          <w:lang w:val="en-CA"/>
        </w:rPr>
        <w:t xml:space="preserve">. </w:t>
      </w:r>
      <w:r>
        <w:rPr>
          <w:rStyle w:val="Hyperlink"/>
          <w:rFonts w:ascii="Arial" w:hAnsi="Arial" w:cs="Arial"/>
          <w:color w:val="000000" w:themeColor="text1"/>
          <w:sz w:val="24"/>
          <w:szCs w:val="24"/>
          <w:u w:val="none"/>
          <w:lang w:val="en-CA"/>
        </w:rPr>
        <w:t>In this case, the tenants of the property, which was owned and rented out by the City of Burnaby, added used motor oil to the large open pit fire that was taking place on the property, causing a large fire ball. This fireball engulfed the plaintiff, Ms. Abdi, entirely in flames and caused her severe burns. The tenants had a history of having large open pit fires on the property going back to 2008, and of adding accelerants to these fires to make them larger. There was an open fire pit that had been maintained on the property for some time, and these fires contravened municipal bye-laws.</w:t>
      </w:r>
    </w:p>
    <w:p w14:paraId="206D6E19" w14:textId="77777777" w:rsidR="00756FC0" w:rsidRPr="009C134A" w:rsidRDefault="00756FC0" w:rsidP="00756FC0">
      <w:pPr>
        <w:pStyle w:val="ListParagraph"/>
        <w:ind w:left="540"/>
        <w:jc w:val="both"/>
        <w:rPr>
          <w:rStyle w:val="Hyperlink"/>
          <w:rFonts w:ascii="Arial" w:hAnsi="Arial" w:cs="Arial"/>
          <w:color w:val="auto"/>
          <w:sz w:val="24"/>
          <w:szCs w:val="24"/>
          <w:u w:val="none"/>
          <w:lang w:val="en-CA"/>
        </w:rPr>
      </w:pPr>
    </w:p>
    <w:p w14:paraId="212566CD" w14:textId="77777777" w:rsidR="00756FC0" w:rsidRDefault="00756FC0" w:rsidP="00756FC0">
      <w:pPr>
        <w:pStyle w:val="ListParagraph"/>
        <w:numPr>
          <w:ilvl w:val="1"/>
          <w:numId w:val="28"/>
        </w:numPr>
        <w:tabs>
          <w:tab w:val="clear" w:pos="1260"/>
          <w:tab w:val="num" w:pos="540"/>
        </w:tabs>
        <w:ind w:left="540"/>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At first instance, the t</w:t>
      </w:r>
      <w:r w:rsidRPr="009C134A">
        <w:rPr>
          <w:rStyle w:val="Hyperlink"/>
          <w:rFonts w:ascii="Arial" w:hAnsi="Arial" w:cs="Arial"/>
          <w:color w:val="auto"/>
          <w:sz w:val="24"/>
          <w:szCs w:val="24"/>
          <w:u w:val="none"/>
          <w:lang w:val="en-CA"/>
        </w:rPr>
        <w:t>rial judge determined that</w:t>
      </w:r>
      <w:r>
        <w:rPr>
          <w:rStyle w:val="Hyperlink"/>
          <w:rFonts w:ascii="Arial" w:hAnsi="Arial" w:cs="Arial"/>
          <w:color w:val="auto"/>
          <w:sz w:val="24"/>
          <w:szCs w:val="24"/>
          <w:u w:val="none"/>
          <w:lang w:val="en-CA"/>
        </w:rPr>
        <w:t xml:space="preserve"> the</w:t>
      </w:r>
      <w:r w:rsidRPr="009C134A">
        <w:rPr>
          <w:rStyle w:val="Hyperlink"/>
          <w:rFonts w:ascii="Arial" w:hAnsi="Arial" w:cs="Arial"/>
          <w:color w:val="auto"/>
          <w:sz w:val="24"/>
          <w:szCs w:val="24"/>
          <w:u w:val="none"/>
          <w:lang w:val="en-CA"/>
        </w:rPr>
        <w:t xml:space="preserve"> tenants and </w:t>
      </w:r>
      <w:r>
        <w:rPr>
          <w:rStyle w:val="Hyperlink"/>
          <w:rFonts w:ascii="Arial" w:hAnsi="Arial" w:cs="Arial"/>
          <w:color w:val="auto"/>
          <w:sz w:val="24"/>
          <w:szCs w:val="24"/>
          <w:u w:val="none"/>
          <w:lang w:val="en-CA"/>
        </w:rPr>
        <w:t>the C</w:t>
      </w:r>
      <w:r w:rsidRPr="009C134A">
        <w:rPr>
          <w:rStyle w:val="Hyperlink"/>
          <w:rFonts w:ascii="Arial" w:hAnsi="Arial" w:cs="Arial"/>
          <w:color w:val="auto"/>
          <w:sz w:val="24"/>
          <w:szCs w:val="24"/>
          <w:u w:val="none"/>
          <w:lang w:val="en-CA"/>
        </w:rPr>
        <w:t>ity owed guest</w:t>
      </w:r>
      <w:r>
        <w:rPr>
          <w:rStyle w:val="Hyperlink"/>
          <w:rFonts w:ascii="Arial" w:hAnsi="Arial" w:cs="Arial"/>
          <w:color w:val="auto"/>
          <w:sz w:val="24"/>
          <w:szCs w:val="24"/>
          <w:u w:val="none"/>
          <w:lang w:val="en-CA"/>
        </w:rPr>
        <w:t xml:space="preserve">s to the property a duty of care. The </w:t>
      </w:r>
      <w:r w:rsidRPr="009C134A">
        <w:rPr>
          <w:rStyle w:val="Hyperlink"/>
          <w:rFonts w:ascii="Arial" w:hAnsi="Arial" w:cs="Arial"/>
          <w:color w:val="auto"/>
          <w:sz w:val="24"/>
          <w:szCs w:val="24"/>
          <w:u w:val="none"/>
          <w:lang w:val="en-CA"/>
        </w:rPr>
        <w:t xml:space="preserve">jury found </w:t>
      </w:r>
      <w:r>
        <w:rPr>
          <w:rStyle w:val="Hyperlink"/>
          <w:rFonts w:ascii="Arial" w:hAnsi="Arial" w:cs="Arial"/>
          <w:color w:val="auto"/>
          <w:sz w:val="24"/>
          <w:szCs w:val="24"/>
          <w:u w:val="none"/>
          <w:lang w:val="en-CA"/>
        </w:rPr>
        <w:t xml:space="preserve">that the defendants had </w:t>
      </w:r>
      <w:r w:rsidRPr="009C134A">
        <w:rPr>
          <w:rStyle w:val="Hyperlink"/>
          <w:rFonts w:ascii="Arial" w:hAnsi="Arial" w:cs="Arial"/>
          <w:color w:val="auto"/>
          <w:sz w:val="24"/>
          <w:szCs w:val="24"/>
          <w:u w:val="none"/>
          <w:lang w:val="en-CA"/>
        </w:rPr>
        <w:t xml:space="preserve">breached </w:t>
      </w:r>
      <w:r>
        <w:rPr>
          <w:rStyle w:val="Hyperlink"/>
          <w:rFonts w:ascii="Arial" w:hAnsi="Arial" w:cs="Arial"/>
          <w:color w:val="auto"/>
          <w:sz w:val="24"/>
          <w:szCs w:val="24"/>
          <w:u w:val="none"/>
          <w:lang w:val="en-CA"/>
        </w:rPr>
        <w:t xml:space="preserve">the </w:t>
      </w:r>
      <w:r w:rsidRPr="009C134A">
        <w:rPr>
          <w:rStyle w:val="Hyperlink"/>
          <w:rFonts w:ascii="Arial" w:hAnsi="Arial" w:cs="Arial"/>
          <w:color w:val="auto"/>
          <w:sz w:val="24"/>
          <w:szCs w:val="24"/>
          <w:u w:val="none"/>
          <w:lang w:val="en-CA"/>
        </w:rPr>
        <w:t xml:space="preserve">standard of care, and liability was assigned 66 per cent to </w:t>
      </w:r>
      <w:r>
        <w:rPr>
          <w:rStyle w:val="Hyperlink"/>
          <w:rFonts w:ascii="Arial" w:hAnsi="Arial" w:cs="Arial"/>
          <w:color w:val="auto"/>
          <w:sz w:val="24"/>
          <w:szCs w:val="24"/>
          <w:u w:val="none"/>
          <w:lang w:val="en-CA"/>
        </w:rPr>
        <w:t xml:space="preserve">the </w:t>
      </w:r>
      <w:r w:rsidRPr="009C134A">
        <w:rPr>
          <w:rStyle w:val="Hyperlink"/>
          <w:rFonts w:ascii="Arial" w:hAnsi="Arial" w:cs="Arial"/>
          <w:color w:val="auto"/>
          <w:sz w:val="24"/>
          <w:szCs w:val="24"/>
          <w:u w:val="none"/>
          <w:lang w:val="en-CA"/>
        </w:rPr>
        <w:t>tenant</w:t>
      </w:r>
      <w:r>
        <w:rPr>
          <w:rStyle w:val="Hyperlink"/>
          <w:rFonts w:ascii="Arial" w:hAnsi="Arial" w:cs="Arial"/>
          <w:color w:val="auto"/>
          <w:sz w:val="24"/>
          <w:szCs w:val="24"/>
          <w:u w:val="none"/>
          <w:lang w:val="en-CA"/>
        </w:rPr>
        <w:t>s</w:t>
      </w:r>
      <w:r w:rsidRPr="009C134A">
        <w:rPr>
          <w:rStyle w:val="Hyperlink"/>
          <w:rFonts w:ascii="Arial" w:hAnsi="Arial" w:cs="Arial"/>
          <w:color w:val="auto"/>
          <w:sz w:val="24"/>
          <w:szCs w:val="24"/>
          <w:u w:val="none"/>
          <w:lang w:val="en-CA"/>
        </w:rPr>
        <w:t xml:space="preserve">, 5 per cent to </w:t>
      </w:r>
      <w:r>
        <w:rPr>
          <w:rStyle w:val="Hyperlink"/>
          <w:rFonts w:ascii="Arial" w:hAnsi="Arial" w:cs="Arial"/>
          <w:color w:val="auto"/>
          <w:sz w:val="24"/>
          <w:szCs w:val="24"/>
          <w:u w:val="none"/>
          <w:lang w:val="en-CA"/>
        </w:rPr>
        <w:t xml:space="preserve">the </w:t>
      </w:r>
      <w:r w:rsidRPr="009C134A">
        <w:rPr>
          <w:rStyle w:val="Hyperlink"/>
          <w:rFonts w:ascii="Arial" w:hAnsi="Arial" w:cs="Arial"/>
          <w:color w:val="auto"/>
          <w:sz w:val="24"/>
          <w:szCs w:val="24"/>
          <w:u w:val="none"/>
          <w:lang w:val="en-CA"/>
        </w:rPr>
        <w:t>tenant'</w:t>
      </w:r>
      <w:r>
        <w:rPr>
          <w:rStyle w:val="Hyperlink"/>
          <w:rFonts w:ascii="Arial" w:hAnsi="Arial" w:cs="Arial"/>
          <w:color w:val="auto"/>
          <w:sz w:val="24"/>
          <w:szCs w:val="24"/>
          <w:u w:val="none"/>
          <w:lang w:val="en-CA"/>
        </w:rPr>
        <w:t>s wife, and 29 percent to the City.</w:t>
      </w:r>
    </w:p>
    <w:p w14:paraId="32E57AA9" w14:textId="77777777" w:rsidR="00756FC0" w:rsidRDefault="00756FC0" w:rsidP="00756FC0">
      <w:pPr>
        <w:pStyle w:val="ListParagraph"/>
        <w:ind w:left="540"/>
        <w:jc w:val="both"/>
        <w:rPr>
          <w:rStyle w:val="Hyperlink"/>
          <w:rFonts w:ascii="Arial" w:hAnsi="Arial" w:cs="Arial"/>
          <w:color w:val="auto"/>
          <w:sz w:val="24"/>
          <w:szCs w:val="24"/>
          <w:u w:val="none"/>
          <w:lang w:val="en-CA"/>
        </w:rPr>
      </w:pPr>
    </w:p>
    <w:p w14:paraId="289F7FB9" w14:textId="77777777" w:rsidR="00756FC0" w:rsidRDefault="00756FC0" w:rsidP="00756FC0">
      <w:pPr>
        <w:pStyle w:val="ListParagraph"/>
        <w:numPr>
          <w:ilvl w:val="1"/>
          <w:numId w:val="28"/>
        </w:numPr>
        <w:tabs>
          <w:tab w:val="clear" w:pos="1260"/>
          <w:tab w:val="num" w:pos="540"/>
        </w:tabs>
        <w:ind w:left="540"/>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Writing for the Court, Griffin J.A. stated that the duty of care in this case was specifically related to take care of the safety of persons who might come to the property, and as such was distinguishable from the duty of care imposed upon the garage owner in </w:t>
      </w:r>
      <w:r>
        <w:rPr>
          <w:rStyle w:val="Hyperlink"/>
          <w:rFonts w:ascii="Arial" w:hAnsi="Arial" w:cs="Arial"/>
          <w:i/>
          <w:color w:val="auto"/>
          <w:sz w:val="24"/>
          <w:szCs w:val="24"/>
          <w:u w:val="none"/>
          <w:lang w:val="en-CA"/>
        </w:rPr>
        <w:t xml:space="preserve">Rankin. </w:t>
      </w:r>
    </w:p>
    <w:p w14:paraId="09F3A1A2" w14:textId="77777777" w:rsidR="00756FC0" w:rsidRPr="00CF3623" w:rsidRDefault="00756FC0" w:rsidP="00756FC0">
      <w:pPr>
        <w:pStyle w:val="ListParagraph"/>
        <w:ind w:left="0"/>
        <w:jc w:val="both"/>
        <w:rPr>
          <w:rStyle w:val="Hyperlink"/>
          <w:rFonts w:ascii="Arial" w:hAnsi="Arial" w:cs="Arial"/>
          <w:color w:val="auto"/>
          <w:sz w:val="24"/>
          <w:szCs w:val="24"/>
          <w:u w:val="none"/>
          <w:lang w:val="en-CA"/>
        </w:rPr>
      </w:pPr>
    </w:p>
    <w:p w14:paraId="628C6F45" w14:textId="77777777" w:rsidR="00756FC0" w:rsidRPr="00D4387E" w:rsidRDefault="00756FC0" w:rsidP="00756FC0">
      <w:pPr>
        <w:pStyle w:val="ListParagraph"/>
        <w:numPr>
          <w:ilvl w:val="1"/>
          <w:numId w:val="28"/>
        </w:numPr>
        <w:tabs>
          <w:tab w:val="clear" w:pos="1260"/>
          <w:tab w:val="num" w:pos="540"/>
        </w:tabs>
        <w:ind w:left="540"/>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Griffin J.A. referred to the UK House of Lords case of </w:t>
      </w:r>
      <w:r w:rsidRPr="00CF3623">
        <w:rPr>
          <w:rStyle w:val="Hyperlink"/>
          <w:rFonts w:ascii="Arial" w:hAnsi="Arial" w:cs="Arial"/>
          <w:i/>
          <w:color w:val="auto"/>
          <w:sz w:val="24"/>
          <w:szCs w:val="24"/>
          <w:u w:val="none"/>
          <w:lang w:val="en-CA"/>
        </w:rPr>
        <w:t>Hughes v. Lord Advocate,</w:t>
      </w:r>
      <w:r w:rsidRPr="00CF3623">
        <w:rPr>
          <w:rStyle w:val="Hyperlink"/>
          <w:rFonts w:ascii="Arial" w:hAnsi="Arial" w:cs="Arial"/>
          <w:color w:val="auto"/>
          <w:sz w:val="24"/>
          <w:szCs w:val="24"/>
          <w:u w:val="none"/>
          <w:lang w:val="en-CA"/>
        </w:rPr>
        <w:t xml:space="preserve"> </w:t>
      </w:r>
      <w:hyperlink r:id="rId90" w:history="1">
        <w:r w:rsidRPr="00CF3623">
          <w:rPr>
            <w:rStyle w:val="Hyperlink"/>
            <w:rFonts w:ascii="Arial" w:hAnsi="Arial" w:cs="Arial"/>
            <w:sz w:val="24"/>
            <w:szCs w:val="24"/>
            <w:u w:val="none"/>
            <w:lang w:val="en-CA"/>
          </w:rPr>
          <w:t>[1963] UKHL 1 (Scotland H.L.)</w:t>
        </w:r>
      </w:hyperlink>
      <w:r>
        <w:rPr>
          <w:rStyle w:val="Hyperlink"/>
          <w:rFonts w:ascii="Arial" w:hAnsi="Arial" w:cs="Arial"/>
          <w:color w:val="auto"/>
          <w:sz w:val="24"/>
          <w:szCs w:val="24"/>
          <w:u w:val="none"/>
          <w:lang w:val="en-CA"/>
        </w:rPr>
        <w:t xml:space="preserve">. In this case </w:t>
      </w:r>
      <w:r>
        <w:rPr>
          <w:rStyle w:val="Hyperlink"/>
          <w:rFonts w:ascii="Arial" w:hAnsi="Arial" w:cs="Arial"/>
          <w:color w:val="000000" w:themeColor="text1"/>
          <w:sz w:val="24"/>
          <w:szCs w:val="24"/>
          <w:u w:val="none"/>
          <w:lang w:val="en-CA"/>
        </w:rPr>
        <w:t>workmen were found to have been liable for the burns caused by an explosion at an unguarded manhole. Two boys went to explore the tent over the manhole, and in the process of doing so, knocked a paraffin lamp into the manhole when one of the boys fell in. The House of Lords ruled that damage from fire was foreseeable, and just because it came in the form of an explosion did not negate this foreseeability.</w:t>
      </w:r>
    </w:p>
    <w:p w14:paraId="4095A117" w14:textId="77777777" w:rsidR="00756FC0" w:rsidRPr="00D4387E" w:rsidRDefault="00756FC0" w:rsidP="00756FC0">
      <w:pPr>
        <w:pStyle w:val="ListParagraph"/>
        <w:ind w:left="0"/>
        <w:jc w:val="both"/>
        <w:rPr>
          <w:rStyle w:val="Hyperlink"/>
          <w:rFonts w:ascii="Arial" w:hAnsi="Arial" w:cs="Arial"/>
          <w:color w:val="auto"/>
          <w:sz w:val="24"/>
          <w:szCs w:val="24"/>
          <w:u w:val="none"/>
          <w:lang w:val="en-CA"/>
        </w:rPr>
      </w:pPr>
    </w:p>
    <w:p w14:paraId="4751CA9E" w14:textId="77777777" w:rsidR="00756FC0" w:rsidRDefault="00756FC0" w:rsidP="00756FC0">
      <w:pPr>
        <w:pStyle w:val="ListParagraph"/>
        <w:numPr>
          <w:ilvl w:val="1"/>
          <w:numId w:val="28"/>
        </w:numPr>
        <w:tabs>
          <w:tab w:val="clear" w:pos="1260"/>
          <w:tab w:val="num" w:pos="540"/>
        </w:tabs>
        <w:ind w:left="540"/>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The logic in </w:t>
      </w:r>
      <w:r>
        <w:rPr>
          <w:rStyle w:val="Hyperlink"/>
          <w:rFonts w:ascii="Arial" w:hAnsi="Arial" w:cs="Arial"/>
          <w:i/>
          <w:color w:val="auto"/>
          <w:sz w:val="24"/>
          <w:szCs w:val="24"/>
          <w:u w:val="none"/>
          <w:lang w:val="en-CA"/>
        </w:rPr>
        <w:t xml:space="preserve">Hughes </w:t>
      </w:r>
      <w:r>
        <w:rPr>
          <w:rStyle w:val="Hyperlink"/>
          <w:rFonts w:ascii="Arial" w:hAnsi="Arial" w:cs="Arial"/>
          <w:color w:val="auto"/>
          <w:sz w:val="24"/>
          <w:szCs w:val="24"/>
          <w:u w:val="none"/>
          <w:lang w:val="en-CA"/>
        </w:rPr>
        <w:t xml:space="preserve">was adopted by the Manitoba Court of Appeal in </w:t>
      </w:r>
      <w:r w:rsidRPr="004C0D09">
        <w:rPr>
          <w:rStyle w:val="Hyperlink"/>
          <w:rFonts w:ascii="Arial" w:hAnsi="Arial" w:cs="Arial"/>
          <w:i/>
          <w:color w:val="auto"/>
          <w:sz w:val="24"/>
          <w:szCs w:val="24"/>
          <w:u w:val="none"/>
          <w:lang w:val="en-CA"/>
        </w:rPr>
        <w:t>Assiniboine South School Division No. 3 v. Greater Winnipeg Gas Co.</w:t>
      </w:r>
      <w:r>
        <w:rPr>
          <w:rStyle w:val="Hyperlink"/>
          <w:rFonts w:ascii="Arial" w:hAnsi="Arial" w:cs="Arial"/>
          <w:i/>
          <w:color w:val="auto"/>
          <w:sz w:val="24"/>
          <w:szCs w:val="24"/>
          <w:u w:val="none"/>
          <w:lang w:val="en-CA"/>
        </w:rPr>
        <w:t>,</w:t>
      </w:r>
      <w:hyperlink r:id="rId91" w:history="1">
        <w:r w:rsidRPr="004C0D09">
          <w:rPr>
            <w:rStyle w:val="Hyperlink"/>
            <w:rFonts w:ascii="Arial" w:hAnsi="Arial" w:cs="Arial"/>
            <w:sz w:val="24"/>
            <w:szCs w:val="24"/>
            <w:u w:val="none"/>
            <w:lang w:val="en-CA"/>
          </w:rPr>
          <w:t>1971 CanLII 959 (MB CA)</w:t>
        </w:r>
      </w:hyperlink>
      <w:r>
        <w:rPr>
          <w:rStyle w:val="Hyperlink"/>
          <w:rFonts w:ascii="Arial" w:hAnsi="Arial" w:cs="Arial"/>
          <w:color w:val="auto"/>
          <w:sz w:val="24"/>
          <w:szCs w:val="24"/>
          <w:u w:val="none"/>
          <w:lang w:val="en-CA"/>
        </w:rPr>
        <w:t xml:space="preserve">. At para 107, Griffin J.A. adopted the ruling </w:t>
      </w:r>
      <w:r>
        <w:rPr>
          <w:rStyle w:val="Hyperlink"/>
          <w:rFonts w:ascii="Arial" w:hAnsi="Arial" w:cs="Arial"/>
          <w:i/>
          <w:color w:val="auto"/>
          <w:sz w:val="24"/>
          <w:szCs w:val="24"/>
          <w:u w:val="none"/>
          <w:lang w:val="en-CA"/>
        </w:rPr>
        <w:t xml:space="preserve">Assiniboine, </w:t>
      </w:r>
      <w:r>
        <w:rPr>
          <w:rStyle w:val="Hyperlink"/>
          <w:rFonts w:ascii="Arial" w:hAnsi="Arial" w:cs="Arial"/>
          <w:color w:val="auto"/>
          <w:sz w:val="24"/>
          <w:szCs w:val="24"/>
          <w:u w:val="none"/>
          <w:lang w:val="en-CA"/>
        </w:rPr>
        <w:t>where at 614 of Dickson J.A. held:</w:t>
      </w:r>
    </w:p>
    <w:p w14:paraId="27D6F261" w14:textId="77777777" w:rsidR="00756FC0" w:rsidRPr="00617573" w:rsidRDefault="00756FC0" w:rsidP="00756FC0">
      <w:pPr>
        <w:pStyle w:val="ListParagraph"/>
        <w:ind w:left="0"/>
        <w:jc w:val="both"/>
        <w:rPr>
          <w:rStyle w:val="Hyperlink"/>
          <w:rFonts w:ascii="Arial" w:hAnsi="Arial" w:cs="Arial"/>
          <w:color w:val="auto"/>
          <w:sz w:val="24"/>
          <w:szCs w:val="24"/>
          <w:u w:val="none"/>
          <w:lang w:val="en-CA"/>
        </w:rPr>
      </w:pPr>
    </w:p>
    <w:p w14:paraId="7C1D4B0D" w14:textId="77777777" w:rsidR="00756FC0" w:rsidRPr="00617573" w:rsidRDefault="00756FC0" w:rsidP="00756FC0">
      <w:pPr>
        <w:ind w:left="1440" w:right="1440"/>
        <w:jc w:val="both"/>
        <w:rPr>
          <w:rStyle w:val="Hyperlink"/>
          <w:rFonts w:ascii="Arial" w:hAnsi="Arial" w:cs="Arial"/>
          <w:i/>
          <w:color w:val="auto"/>
          <w:szCs w:val="24"/>
          <w:u w:val="none"/>
          <w:lang w:val="en-CA"/>
        </w:rPr>
      </w:pPr>
      <w:r w:rsidRPr="00617573">
        <w:rPr>
          <w:rStyle w:val="Hyperlink"/>
          <w:rFonts w:ascii="Arial" w:hAnsi="Arial" w:cs="Arial"/>
          <w:i/>
          <w:color w:val="auto"/>
          <w:szCs w:val="24"/>
          <w:u w:val="none"/>
          <w:lang w:val="en-CA"/>
        </w:rPr>
        <w:t xml:space="preserve">It is enough to fix liability if one could foresee in a general way the sort of thing that happened. </w:t>
      </w:r>
      <w:r w:rsidRPr="00617573">
        <w:rPr>
          <w:rStyle w:val="Hyperlink"/>
          <w:rFonts w:ascii="Arial" w:hAnsi="Arial" w:cs="Arial"/>
          <w:i/>
          <w:color w:val="auto"/>
          <w:szCs w:val="24"/>
          <w:lang w:val="en-CA"/>
        </w:rPr>
        <w:t>The extent of the damage and its manner of incidence need not be foreseeable if physical damage of the kind which in fact ensues is foreseeable. In the case at bar I would hold that the damage was of the type or kind which any reasonable person might foresee</w:t>
      </w:r>
      <w:r w:rsidRPr="00617573">
        <w:rPr>
          <w:rStyle w:val="Hyperlink"/>
          <w:rFonts w:ascii="Arial" w:hAnsi="Arial" w:cs="Arial"/>
          <w:i/>
          <w:color w:val="auto"/>
          <w:szCs w:val="24"/>
          <w:u w:val="none"/>
          <w:lang w:val="en-CA"/>
        </w:rPr>
        <w:t xml:space="preserve">. Gas-riser pipes on the outside of Tuxedo buildings are common. Damage to such a pipe is not of a kind that no one could anticipate. </w:t>
      </w:r>
      <w:r w:rsidRPr="00617573">
        <w:rPr>
          <w:rStyle w:val="Hyperlink"/>
          <w:rFonts w:ascii="Arial" w:hAnsi="Arial" w:cs="Arial"/>
          <w:i/>
          <w:color w:val="auto"/>
          <w:szCs w:val="24"/>
          <w:lang w:val="en-CA"/>
        </w:rPr>
        <w:t>When one permits a power toboggan to run at large, or when one fires a rifle blindly down a city street, one must not define narrowly the outer limits of reasonable provision.</w:t>
      </w:r>
      <w:r w:rsidRPr="00617573">
        <w:rPr>
          <w:rStyle w:val="Hyperlink"/>
          <w:rFonts w:ascii="Arial" w:hAnsi="Arial" w:cs="Arial"/>
          <w:i/>
          <w:color w:val="auto"/>
          <w:szCs w:val="24"/>
          <w:u w:val="none"/>
          <w:lang w:val="en-CA"/>
        </w:rPr>
        <w:t xml:space="preserve"> The ambit of foreseeable damage is indeed broad.</w:t>
      </w:r>
    </w:p>
    <w:p w14:paraId="0AD52D6F" w14:textId="77777777" w:rsidR="00756FC0" w:rsidRPr="00617573" w:rsidRDefault="00756FC0" w:rsidP="00756FC0">
      <w:pPr>
        <w:ind w:left="1440" w:right="1440"/>
        <w:jc w:val="both"/>
        <w:rPr>
          <w:rStyle w:val="Hyperlink"/>
          <w:rFonts w:ascii="Arial" w:hAnsi="Arial" w:cs="Arial"/>
          <w:i/>
          <w:color w:val="auto"/>
          <w:szCs w:val="24"/>
          <w:u w:val="none"/>
          <w:lang w:val="en-CA"/>
        </w:rPr>
      </w:pPr>
    </w:p>
    <w:p w14:paraId="2F3CAA9B" w14:textId="77777777" w:rsidR="00756FC0" w:rsidRPr="00617573" w:rsidRDefault="00756FC0" w:rsidP="00756FC0">
      <w:pPr>
        <w:ind w:left="1440" w:right="1440"/>
        <w:jc w:val="both"/>
        <w:rPr>
          <w:rStyle w:val="Hyperlink"/>
          <w:rFonts w:ascii="Arial" w:hAnsi="Arial" w:cs="Arial"/>
          <w:i/>
          <w:color w:val="auto"/>
          <w:szCs w:val="24"/>
          <w:u w:val="none"/>
          <w:lang w:val="en-CA"/>
        </w:rPr>
      </w:pPr>
      <w:r w:rsidRPr="00617573">
        <w:rPr>
          <w:rStyle w:val="Hyperlink"/>
          <w:rFonts w:ascii="Arial" w:hAnsi="Arial" w:cs="Arial"/>
          <w:i/>
          <w:color w:val="auto"/>
          <w:szCs w:val="24"/>
          <w:u w:val="none"/>
          <w:lang w:val="en-CA"/>
        </w:rPr>
        <w:t>[Italic emphasis in original; underline emphasis added.]</w:t>
      </w:r>
    </w:p>
    <w:p w14:paraId="4569C763" w14:textId="77777777" w:rsidR="00756FC0" w:rsidRPr="00617573" w:rsidRDefault="00756FC0" w:rsidP="00756FC0">
      <w:pPr>
        <w:pStyle w:val="ListParagraph"/>
        <w:ind w:left="0"/>
        <w:jc w:val="both"/>
        <w:rPr>
          <w:rStyle w:val="Hyperlink"/>
          <w:rFonts w:ascii="Arial" w:hAnsi="Arial" w:cs="Arial"/>
          <w:color w:val="auto"/>
          <w:sz w:val="24"/>
          <w:szCs w:val="24"/>
          <w:u w:val="none"/>
          <w:lang w:val="en-CA"/>
        </w:rPr>
      </w:pPr>
    </w:p>
    <w:p w14:paraId="0612FAF5" w14:textId="77777777" w:rsidR="00756FC0" w:rsidRDefault="00756FC0" w:rsidP="00756FC0">
      <w:pPr>
        <w:pStyle w:val="ListParagraph"/>
        <w:numPr>
          <w:ilvl w:val="1"/>
          <w:numId w:val="28"/>
        </w:numPr>
        <w:tabs>
          <w:tab w:val="clear" w:pos="1260"/>
          <w:tab w:val="num" w:pos="540"/>
        </w:tabs>
        <w:ind w:left="540"/>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At paras 112 – 113, Griffin J.A. ruled that the trial judge did not err in finding that the City, by virtue of being the owner of the property and thus an “occupier” under the </w:t>
      </w:r>
      <w:r>
        <w:rPr>
          <w:rStyle w:val="Hyperlink"/>
          <w:rFonts w:ascii="Arial" w:hAnsi="Arial" w:cs="Arial"/>
          <w:i/>
          <w:color w:val="auto"/>
          <w:sz w:val="24"/>
          <w:szCs w:val="24"/>
          <w:u w:val="none"/>
          <w:lang w:val="en-CA"/>
        </w:rPr>
        <w:t xml:space="preserve">Act, </w:t>
      </w:r>
      <w:r>
        <w:rPr>
          <w:rStyle w:val="Hyperlink"/>
          <w:rFonts w:ascii="Arial" w:hAnsi="Arial" w:cs="Arial"/>
          <w:color w:val="auto"/>
          <w:sz w:val="24"/>
          <w:szCs w:val="24"/>
          <w:u w:val="none"/>
          <w:lang w:val="en-CA"/>
        </w:rPr>
        <w:t xml:space="preserve">owed Ms. Abdi a duty of care. The circumstances of the case did not require that the precise mechanism or events that caused the injury be specifically foreseen. Griffin J.A. emphasized that the </w:t>
      </w:r>
      <w:r>
        <w:rPr>
          <w:rStyle w:val="Hyperlink"/>
          <w:rFonts w:ascii="Arial" w:hAnsi="Arial" w:cs="Arial"/>
          <w:i/>
          <w:color w:val="auto"/>
          <w:sz w:val="24"/>
          <w:szCs w:val="24"/>
          <w:u w:val="none"/>
          <w:lang w:val="en-CA"/>
        </w:rPr>
        <w:t xml:space="preserve">Rankin </w:t>
      </w:r>
      <w:r>
        <w:rPr>
          <w:rStyle w:val="Hyperlink"/>
          <w:rFonts w:ascii="Arial" w:hAnsi="Arial" w:cs="Arial"/>
          <w:color w:val="auto"/>
          <w:sz w:val="24"/>
          <w:szCs w:val="24"/>
          <w:u w:val="none"/>
          <w:lang w:val="en-CA"/>
        </w:rPr>
        <w:t xml:space="preserve">decision makes it clear that it is only the type of harm that must be foreseeable. </w:t>
      </w:r>
    </w:p>
    <w:p w14:paraId="418B7E35" w14:textId="77777777" w:rsidR="00400A6A" w:rsidRDefault="00400A6A" w:rsidP="00400A6A">
      <w:pPr>
        <w:ind w:left="180"/>
        <w:jc w:val="both"/>
        <w:rPr>
          <w:rStyle w:val="Hyperlink"/>
          <w:rFonts w:ascii="Arial" w:hAnsi="Arial" w:cs="Arial"/>
          <w:color w:val="auto"/>
          <w:sz w:val="24"/>
          <w:szCs w:val="24"/>
          <w:u w:val="none"/>
          <w:lang w:val="en-CA"/>
        </w:rPr>
      </w:pPr>
    </w:p>
    <w:p w14:paraId="4EC834FA" w14:textId="597E5D0F" w:rsidR="00400A6A" w:rsidRPr="00E969C4" w:rsidRDefault="00400A6A" w:rsidP="00400A6A">
      <w:pPr>
        <w:ind w:left="180"/>
        <w:jc w:val="both"/>
        <w:rPr>
          <w:rStyle w:val="Hyperlink"/>
          <w:rFonts w:ascii="Arial" w:hAnsi="Arial" w:cs="Arial"/>
          <w:b/>
          <w:bCs/>
          <w:color w:val="auto"/>
          <w:sz w:val="24"/>
          <w:szCs w:val="24"/>
          <w:u w:val="none"/>
          <w:lang w:val="en-CA"/>
        </w:rPr>
      </w:pPr>
      <w:bookmarkStart w:id="22" w:name="_Hlk187148822"/>
      <w:r w:rsidRPr="00E969C4">
        <w:rPr>
          <w:rStyle w:val="Hyperlink"/>
          <w:rFonts w:ascii="Arial" w:hAnsi="Arial" w:cs="Arial"/>
          <w:b/>
          <w:bCs/>
          <w:i/>
          <w:iCs/>
          <w:color w:val="auto"/>
          <w:sz w:val="24"/>
          <w:szCs w:val="24"/>
          <w:u w:val="none"/>
          <w:lang w:val="en-CA"/>
        </w:rPr>
        <w:t>Ramos v. South Coast British Columbia Transportation Authority</w:t>
      </w:r>
      <w:r w:rsidR="00E969C4">
        <w:rPr>
          <w:rStyle w:val="Hyperlink"/>
          <w:rFonts w:ascii="Arial" w:hAnsi="Arial" w:cs="Arial"/>
          <w:b/>
          <w:bCs/>
          <w:i/>
          <w:iCs/>
          <w:color w:val="auto"/>
          <w:sz w:val="24"/>
          <w:szCs w:val="24"/>
          <w:u w:val="none"/>
          <w:lang w:val="en-CA"/>
        </w:rPr>
        <w:t xml:space="preserve">, </w:t>
      </w:r>
      <w:hyperlink r:id="rId92" w:history="1">
        <w:r w:rsidR="00E969C4" w:rsidRPr="00E969C4">
          <w:rPr>
            <w:rStyle w:val="Hyperlink"/>
            <w:rFonts w:ascii="Arial" w:hAnsi="Arial" w:cs="Arial"/>
            <w:b/>
            <w:bCs/>
            <w:sz w:val="24"/>
            <w:szCs w:val="24"/>
            <w:lang w:val="en-CA"/>
          </w:rPr>
          <w:t>2023 BCSC 966</w:t>
        </w:r>
      </w:hyperlink>
      <w:bookmarkEnd w:id="22"/>
      <w:r w:rsidR="00E969C4">
        <w:rPr>
          <w:rStyle w:val="Hyperlink"/>
          <w:rFonts w:ascii="Arial" w:hAnsi="Arial" w:cs="Arial"/>
          <w:b/>
          <w:bCs/>
          <w:i/>
          <w:iCs/>
          <w:color w:val="auto"/>
          <w:sz w:val="24"/>
          <w:szCs w:val="24"/>
          <w:u w:val="none"/>
          <w:lang w:val="en-CA"/>
        </w:rPr>
        <w:t xml:space="preserve"> </w:t>
      </w:r>
    </w:p>
    <w:p w14:paraId="1B2902B4" w14:textId="77777777" w:rsidR="00400A6A" w:rsidRDefault="00400A6A" w:rsidP="00400A6A">
      <w:pPr>
        <w:ind w:left="180"/>
        <w:jc w:val="both"/>
        <w:rPr>
          <w:rStyle w:val="Hyperlink"/>
          <w:rFonts w:ascii="Arial" w:hAnsi="Arial" w:cs="Arial"/>
          <w:color w:val="auto"/>
          <w:sz w:val="24"/>
          <w:szCs w:val="24"/>
          <w:u w:val="none"/>
          <w:lang w:val="en-CA"/>
        </w:rPr>
      </w:pPr>
    </w:p>
    <w:p w14:paraId="406967A7" w14:textId="1DABF10F" w:rsidR="00400A6A" w:rsidRDefault="00400A6A" w:rsidP="00400A6A">
      <w:pPr>
        <w:pStyle w:val="ListParagraph"/>
        <w:numPr>
          <w:ilvl w:val="0"/>
          <w:numId w:val="37"/>
        </w:numPr>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The </w:t>
      </w:r>
      <w:r w:rsidR="00E969C4">
        <w:rPr>
          <w:rStyle w:val="Hyperlink"/>
          <w:rFonts w:ascii="Arial" w:hAnsi="Arial" w:cs="Arial"/>
          <w:color w:val="auto"/>
          <w:sz w:val="24"/>
          <w:szCs w:val="24"/>
          <w:u w:val="none"/>
          <w:lang w:val="en-CA"/>
        </w:rPr>
        <w:t>p</w:t>
      </w:r>
      <w:r>
        <w:rPr>
          <w:rStyle w:val="Hyperlink"/>
          <w:rFonts w:ascii="Arial" w:hAnsi="Arial" w:cs="Arial"/>
          <w:color w:val="auto"/>
          <w:sz w:val="24"/>
          <w:szCs w:val="24"/>
          <w:u w:val="none"/>
          <w:lang w:val="en-CA"/>
        </w:rPr>
        <w:t>laintiff</w:t>
      </w:r>
      <w:r w:rsidR="00E969C4">
        <w:rPr>
          <w:rStyle w:val="Hyperlink"/>
          <w:rFonts w:ascii="Arial" w:hAnsi="Arial" w:cs="Arial"/>
          <w:color w:val="auto"/>
          <w:sz w:val="24"/>
          <w:szCs w:val="24"/>
          <w:u w:val="none"/>
          <w:lang w:val="en-CA"/>
        </w:rPr>
        <w:t>,</w:t>
      </w:r>
      <w:r>
        <w:rPr>
          <w:rStyle w:val="Hyperlink"/>
          <w:rFonts w:ascii="Arial" w:hAnsi="Arial" w:cs="Arial"/>
          <w:color w:val="auto"/>
          <w:sz w:val="24"/>
          <w:szCs w:val="24"/>
          <w:u w:val="none"/>
          <w:lang w:val="en-CA"/>
        </w:rPr>
        <w:t xml:space="preserve"> Joseph Ramos, tripped and fell on a low concrete ramp at a transit station in Port Coquitlam. The ramp led to a maintenance shed in the passenger interchange area. He alleged that </w:t>
      </w:r>
      <w:proofErr w:type="spellStart"/>
      <w:r>
        <w:rPr>
          <w:rStyle w:val="Hyperlink"/>
          <w:rFonts w:ascii="Arial" w:hAnsi="Arial" w:cs="Arial"/>
          <w:color w:val="auto"/>
          <w:sz w:val="24"/>
          <w:szCs w:val="24"/>
          <w:u w:val="none"/>
          <w:lang w:val="en-CA"/>
        </w:rPr>
        <w:t>Translink</w:t>
      </w:r>
      <w:proofErr w:type="spellEnd"/>
      <w:r>
        <w:rPr>
          <w:rStyle w:val="Hyperlink"/>
          <w:rFonts w:ascii="Arial" w:hAnsi="Arial" w:cs="Arial"/>
          <w:color w:val="auto"/>
          <w:sz w:val="24"/>
          <w:szCs w:val="24"/>
          <w:u w:val="none"/>
          <w:lang w:val="en-CA"/>
        </w:rPr>
        <w:t xml:space="preserve"> ought to have known that the raised edge was a tripping hazard and were therefore negligent in their failure to make the edge clearly visible to passing passengers. </w:t>
      </w:r>
    </w:p>
    <w:p w14:paraId="4DACC73D" w14:textId="77777777" w:rsidR="00A4121C" w:rsidRDefault="00A4121C" w:rsidP="00A4121C">
      <w:pPr>
        <w:pStyle w:val="ListParagraph"/>
        <w:ind w:left="900"/>
        <w:jc w:val="both"/>
        <w:rPr>
          <w:rStyle w:val="Hyperlink"/>
          <w:rFonts w:ascii="Arial" w:hAnsi="Arial" w:cs="Arial"/>
          <w:color w:val="auto"/>
          <w:sz w:val="24"/>
          <w:szCs w:val="24"/>
          <w:u w:val="none"/>
          <w:lang w:val="en-CA"/>
        </w:rPr>
      </w:pPr>
    </w:p>
    <w:p w14:paraId="6F1FD698" w14:textId="24C26EF3" w:rsidR="00A4121C" w:rsidRPr="00BB359D" w:rsidRDefault="00A4121C" w:rsidP="00A4121C">
      <w:pPr>
        <w:pStyle w:val="ListParagraph"/>
        <w:numPr>
          <w:ilvl w:val="0"/>
          <w:numId w:val="37"/>
        </w:numPr>
        <w:jc w:val="both"/>
        <w:rPr>
          <w:rStyle w:val="reflex3-block"/>
          <w:rFonts w:ascii="Arial" w:hAnsi="Arial" w:cs="Arial"/>
          <w:sz w:val="24"/>
          <w:szCs w:val="24"/>
          <w:lang w:val="en-CA"/>
        </w:rPr>
      </w:pPr>
      <w:r>
        <w:rPr>
          <w:rStyle w:val="Hyperlink"/>
          <w:rFonts w:ascii="Arial" w:hAnsi="Arial" w:cs="Arial"/>
          <w:color w:val="auto"/>
          <w:sz w:val="24"/>
          <w:szCs w:val="24"/>
          <w:u w:val="none"/>
          <w:lang w:val="en-CA"/>
        </w:rPr>
        <w:t xml:space="preserve">At paragraph 23-25 the courts indicated that </w:t>
      </w:r>
      <w:proofErr w:type="spellStart"/>
      <w:r>
        <w:rPr>
          <w:rStyle w:val="Hyperlink"/>
          <w:rFonts w:ascii="Arial" w:hAnsi="Arial" w:cs="Arial"/>
          <w:color w:val="auto"/>
          <w:sz w:val="24"/>
          <w:szCs w:val="24"/>
          <w:u w:val="none"/>
          <w:lang w:val="en-CA"/>
        </w:rPr>
        <w:t>Translink</w:t>
      </w:r>
      <w:proofErr w:type="spellEnd"/>
      <w:r>
        <w:rPr>
          <w:rStyle w:val="Hyperlink"/>
          <w:rFonts w:ascii="Arial" w:hAnsi="Arial" w:cs="Arial"/>
          <w:color w:val="auto"/>
          <w:sz w:val="24"/>
          <w:szCs w:val="24"/>
          <w:u w:val="none"/>
          <w:lang w:val="en-CA"/>
        </w:rPr>
        <w:t xml:space="preserve"> owed Mr. </w:t>
      </w:r>
      <w:r w:rsidR="00B67473">
        <w:rPr>
          <w:rStyle w:val="Hyperlink"/>
          <w:rFonts w:ascii="Arial" w:hAnsi="Arial" w:cs="Arial"/>
          <w:color w:val="auto"/>
          <w:sz w:val="24"/>
          <w:szCs w:val="24"/>
          <w:u w:val="none"/>
          <w:lang w:val="en-CA"/>
        </w:rPr>
        <w:t>R</w:t>
      </w:r>
      <w:r>
        <w:rPr>
          <w:rStyle w:val="Hyperlink"/>
          <w:rFonts w:ascii="Arial" w:hAnsi="Arial" w:cs="Arial"/>
          <w:color w:val="auto"/>
          <w:sz w:val="24"/>
          <w:szCs w:val="24"/>
          <w:u w:val="none"/>
          <w:lang w:val="en-CA"/>
        </w:rPr>
        <w:t xml:space="preserve">amos a duty to take reasonable care to ensure </w:t>
      </w:r>
      <w:r w:rsidR="00B67473">
        <w:rPr>
          <w:rStyle w:val="Hyperlink"/>
          <w:rFonts w:ascii="Arial" w:hAnsi="Arial" w:cs="Arial"/>
          <w:color w:val="auto"/>
          <w:sz w:val="24"/>
          <w:szCs w:val="24"/>
          <w:u w:val="none"/>
          <w:lang w:val="en-CA"/>
        </w:rPr>
        <w:t>their passengers, including Mr. Ramos,</w:t>
      </w:r>
      <w:r>
        <w:rPr>
          <w:rStyle w:val="Hyperlink"/>
          <w:rFonts w:ascii="Arial" w:hAnsi="Arial" w:cs="Arial"/>
          <w:color w:val="auto"/>
          <w:sz w:val="24"/>
          <w:szCs w:val="24"/>
          <w:u w:val="none"/>
          <w:lang w:val="en-CA"/>
        </w:rPr>
        <w:t xml:space="preserve"> was reasonably safe</w:t>
      </w:r>
      <w:r w:rsidR="00B67473">
        <w:rPr>
          <w:rStyle w:val="Hyperlink"/>
          <w:rFonts w:ascii="Arial" w:hAnsi="Arial" w:cs="Arial"/>
          <w:color w:val="auto"/>
          <w:sz w:val="24"/>
          <w:szCs w:val="24"/>
          <w:u w:val="none"/>
          <w:lang w:val="en-CA"/>
        </w:rPr>
        <w:t xml:space="preserve"> on the</w:t>
      </w:r>
      <w:r>
        <w:rPr>
          <w:rStyle w:val="Hyperlink"/>
          <w:rFonts w:ascii="Arial" w:hAnsi="Arial" w:cs="Arial"/>
          <w:color w:val="auto"/>
          <w:sz w:val="24"/>
          <w:szCs w:val="24"/>
          <w:u w:val="none"/>
          <w:lang w:val="en-CA"/>
        </w:rPr>
        <w:t xml:space="preserve"> transit station premises. The test is one of reasonableness, not perfection with respect to ensuring </w:t>
      </w:r>
      <w:r w:rsidR="00B67473">
        <w:rPr>
          <w:rStyle w:val="Hyperlink"/>
          <w:rFonts w:ascii="Arial" w:hAnsi="Arial" w:cs="Arial"/>
          <w:color w:val="auto"/>
          <w:sz w:val="24"/>
          <w:szCs w:val="24"/>
          <w:u w:val="none"/>
          <w:lang w:val="en-CA"/>
        </w:rPr>
        <w:t>the foregoing,</w:t>
      </w:r>
      <w:r>
        <w:rPr>
          <w:rStyle w:val="Hyperlink"/>
          <w:rFonts w:ascii="Arial" w:hAnsi="Arial" w:cs="Arial"/>
          <w:color w:val="auto"/>
          <w:sz w:val="24"/>
          <w:szCs w:val="24"/>
          <w:u w:val="none"/>
          <w:lang w:val="en-CA"/>
        </w:rPr>
        <w:t xml:space="preserve"> per </w:t>
      </w:r>
      <w:r>
        <w:rPr>
          <w:rFonts w:ascii="Arial" w:hAnsi="Arial" w:cs="Arial"/>
          <w:i/>
          <w:iCs/>
          <w:color w:val="000000"/>
        </w:rPr>
        <w:t>The Roman Catholic Archdiocese of Vancouver</w:t>
      </w:r>
      <w:r>
        <w:rPr>
          <w:rFonts w:ascii="Arial" w:hAnsi="Arial" w:cs="Arial"/>
          <w:color w:val="000000"/>
        </w:rPr>
        <w:t>, </w:t>
      </w:r>
      <w:hyperlink r:id="rId93" w:history="1">
        <w:r>
          <w:rPr>
            <w:rStyle w:val="Hyperlink"/>
            <w:rFonts w:ascii="Arial" w:hAnsi="Arial" w:cs="Arial"/>
            <w:color w:val="027ABB"/>
          </w:rPr>
          <w:t>2017 BCSC 1176</w:t>
        </w:r>
      </w:hyperlink>
      <w:r>
        <w:rPr>
          <w:rStyle w:val="reflex3-block"/>
          <w:rFonts w:ascii="Arial" w:hAnsi="Arial" w:cs="Arial"/>
          <w:color w:val="000000"/>
        </w:rPr>
        <w:t xml:space="preserve">. </w:t>
      </w:r>
    </w:p>
    <w:p w14:paraId="753EA8DE" w14:textId="77777777" w:rsidR="00A4121C" w:rsidRPr="00A4121C" w:rsidRDefault="00A4121C" w:rsidP="00BB359D">
      <w:pPr>
        <w:pStyle w:val="ListParagraph"/>
        <w:rPr>
          <w:rStyle w:val="Hyperlink"/>
          <w:rFonts w:ascii="Arial" w:hAnsi="Arial" w:cs="Arial"/>
          <w:color w:val="auto"/>
          <w:sz w:val="24"/>
          <w:szCs w:val="24"/>
          <w:u w:val="none"/>
          <w:lang w:val="en-CA"/>
        </w:rPr>
      </w:pPr>
    </w:p>
    <w:p w14:paraId="37D4AEB2" w14:textId="1063CBD8" w:rsidR="00A4121C" w:rsidRDefault="00A4121C" w:rsidP="00A4121C">
      <w:pPr>
        <w:pStyle w:val="ListParagraph"/>
        <w:numPr>
          <w:ilvl w:val="0"/>
          <w:numId w:val="37"/>
        </w:numPr>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The courts found that the raised ramp was a hazard and therefore engaged in the following analysis at paragraph 40</w:t>
      </w:r>
      <w:r w:rsidR="00B830D8">
        <w:rPr>
          <w:rStyle w:val="Hyperlink"/>
          <w:rFonts w:ascii="Arial" w:hAnsi="Arial" w:cs="Arial"/>
          <w:color w:val="auto"/>
          <w:sz w:val="24"/>
          <w:szCs w:val="24"/>
          <w:u w:val="none"/>
          <w:lang w:val="en-CA"/>
        </w:rPr>
        <w:t xml:space="preserve">, to determine whether </w:t>
      </w:r>
      <w:proofErr w:type="spellStart"/>
      <w:r w:rsidR="00B830D8">
        <w:rPr>
          <w:rStyle w:val="Hyperlink"/>
          <w:rFonts w:ascii="Arial" w:hAnsi="Arial" w:cs="Arial"/>
          <w:color w:val="auto"/>
          <w:sz w:val="24"/>
          <w:szCs w:val="24"/>
          <w:u w:val="none"/>
          <w:lang w:val="en-CA"/>
        </w:rPr>
        <w:t>Translink</w:t>
      </w:r>
      <w:proofErr w:type="spellEnd"/>
      <w:r w:rsidR="00B830D8">
        <w:rPr>
          <w:rStyle w:val="Hyperlink"/>
          <w:rFonts w:ascii="Arial" w:hAnsi="Arial" w:cs="Arial"/>
          <w:color w:val="auto"/>
          <w:sz w:val="24"/>
          <w:szCs w:val="24"/>
          <w:u w:val="none"/>
          <w:lang w:val="en-CA"/>
        </w:rPr>
        <w:t xml:space="preserve"> had breached their duty of care to Mr. Ramos:</w:t>
      </w:r>
    </w:p>
    <w:p w14:paraId="5A02D72B" w14:textId="77777777" w:rsidR="00400A6A" w:rsidRDefault="00400A6A" w:rsidP="00BB359D">
      <w:pPr>
        <w:pStyle w:val="ListParagraph"/>
        <w:ind w:left="900"/>
        <w:jc w:val="both"/>
        <w:rPr>
          <w:rStyle w:val="Hyperlink"/>
          <w:rFonts w:ascii="Arial" w:hAnsi="Arial" w:cs="Arial"/>
          <w:color w:val="auto"/>
          <w:sz w:val="24"/>
          <w:szCs w:val="24"/>
          <w:u w:val="none"/>
          <w:lang w:val="en-CA"/>
        </w:rPr>
      </w:pPr>
    </w:p>
    <w:p w14:paraId="080D816B" w14:textId="77777777" w:rsidR="00400A6A" w:rsidRPr="00BB359D" w:rsidRDefault="00400A6A" w:rsidP="00BB359D">
      <w:pPr>
        <w:pStyle w:val="scjnumber"/>
        <w:numPr>
          <w:ilvl w:val="1"/>
          <w:numId w:val="37"/>
        </w:numPr>
        <w:spacing w:before="0" w:beforeAutospacing="0" w:after="240" w:afterAutospacing="0" w:line="360" w:lineRule="atLeast"/>
        <w:rPr>
          <w:rFonts w:ascii="Arial" w:hAnsi="Arial" w:cs="Arial"/>
          <w:color w:val="000000"/>
          <w:sz w:val="24"/>
          <w:szCs w:val="24"/>
        </w:rPr>
      </w:pPr>
      <w:r w:rsidRPr="00BB359D">
        <w:rPr>
          <w:rFonts w:ascii="Arial" w:hAnsi="Arial" w:cs="Arial"/>
          <w:color w:val="000000"/>
          <w:sz w:val="24"/>
          <w:szCs w:val="24"/>
        </w:rPr>
        <w:t xml:space="preserve">a)   actual or </w:t>
      </w:r>
      <w:r w:rsidRPr="00E969C4">
        <w:rPr>
          <w:rStyle w:val="Hyperlink"/>
          <w:rFonts w:ascii="Arial" w:hAnsi="Arial" w:cs="Arial"/>
          <w:color w:val="auto"/>
          <w:sz w:val="24"/>
          <w:szCs w:val="24"/>
          <w:u w:val="none"/>
          <w:lang w:val="en-CA"/>
        </w:rPr>
        <w:t>constructive</w:t>
      </w:r>
      <w:r w:rsidRPr="00BB359D">
        <w:rPr>
          <w:rFonts w:ascii="Arial" w:hAnsi="Arial" w:cs="Arial"/>
          <w:color w:val="000000"/>
          <w:sz w:val="24"/>
          <w:szCs w:val="24"/>
        </w:rPr>
        <w:t xml:space="preserve"> knowledge of the hazard;</w:t>
      </w:r>
    </w:p>
    <w:p w14:paraId="092A8A37" w14:textId="77777777" w:rsidR="00400A6A" w:rsidRPr="00BB359D" w:rsidRDefault="00400A6A" w:rsidP="00BB359D">
      <w:pPr>
        <w:pStyle w:val="scjnumber"/>
        <w:numPr>
          <w:ilvl w:val="1"/>
          <w:numId w:val="37"/>
        </w:numPr>
        <w:spacing w:before="0" w:beforeAutospacing="0" w:after="240" w:afterAutospacing="0" w:line="360" w:lineRule="atLeast"/>
        <w:rPr>
          <w:rFonts w:ascii="Arial" w:hAnsi="Arial" w:cs="Arial"/>
          <w:color w:val="000000"/>
          <w:sz w:val="24"/>
          <w:szCs w:val="24"/>
        </w:rPr>
      </w:pPr>
      <w:r w:rsidRPr="00BB359D">
        <w:rPr>
          <w:rFonts w:ascii="Arial" w:hAnsi="Arial" w:cs="Arial"/>
          <w:color w:val="000000"/>
          <w:sz w:val="24"/>
          <w:szCs w:val="24"/>
        </w:rPr>
        <w:t>b)   foreseeability of the consequences of failing to abate the hazard; and</w:t>
      </w:r>
    </w:p>
    <w:p w14:paraId="40051721" w14:textId="77777777" w:rsidR="00400A6A" w:rsidRPr="00BB359D" w:rsidRDefault="00400A6A" w:rsidP="00BB359D">
      <w:pPr>
        <w:pStyle w:val="scjnumber"/>
        <w:numPr>
          <w:ilvl w:val="1"/>
          <w:numId w:val="37"/>
        </w:numPr>
        <w:spacing w:before="0" w:beforeAutospacing="0" w:after="240" w:afterAutospacing="0" w:line="360" w:lineRule="atLeast"/>
        <w:rPr>
          <w:rFonts w:ascii="Arial" w:hAnsi="Arial" w:cs="Arial"/>
          <w:color w:val="000000"/>
          <w:sz w:val="24"/>
          <w:szCs w:val="24"/>
        </w:rPr>
      </w:pPr>
      <w:r w:rsidRPr="00BB359D">
        <w:rPr>
          <w:rFonts w:ascii="Arial" w:hAnsi="Arial" w:cs="Arial"/>
          <w:color w:val="000000"/>
          <w:sz w:val="24"/>
          <w:szCs w:val="24"/>
        </w:rPr>
        <w:t>c)   the ability to abate the hazard.</w:t>
      </w:r>
    </w:p>
    <w:p w14:paraId="524E5F02" w14:textId="6B983418" w:rsidR="00B67473" w:rsidRDefault="00A4121C" w:rsidP="00B67473">
      <w:pPr>
        <w:pStyle w:val="ListParagraph"/>
        <w:numPr>
          <w:ilvl w:val="0"/>
          <w:numId w:val="37"/>
        </w:numPr>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 xml:space="preserve">The court took note of the fact that the ramp which Ramos tripped on was covered by grass. After the accident, </w:t>
      </w:r>
      <w:r w:rsidR="00E969C4">
        <w:rPr>
          <w:rStyle w:val="Hyperlink"/>
          <w:rFonts w:ascii="Arial" w:hAnsi="Arial" w:cs="Arial"/>
          <w:color w:val="auto"/>
          <w:sz w:val="24"/>
          <w:szCs w:val="24"/>
          <w:u w:val="none"/>
          <w:lang w:val="en-CA"/>
        </w:rPr>
        <w:br/>
      </w:r>
      <w:proofErr w:type="spellStart"/>
      <w:r w:rsidR="00E969C4">
        <w:rPr>
          <w:rStyle w:val="Hyperlink"/>
          <w:rFonts w:ascii="Arial" w:hAnsi="Arial" w:cs="Arial"/>
          <w:color w:val="auto"/>
          <w:sz w:val="24"/>
          <w:szCs w:val="24"/>
          <w:u w:val="none"/>
          <w:lang w:val="en-CA"/>
        </w:rPr>
        <w:t>T</w:t>
      </w:r>
      <w:r>
        <w:rPr>
          <w:rStyle w:val="Hyperlink"/>
          <w:rFonts w:ascii="Arial" w:hAnsi="Arial" w:cs="Arial"/>
          <w:color w:val="auto"/>
          <w:sz w:val="24"/>
          <w:szCs w:val="24"/>
          <w:u w:val="none"/>
          <w:lang w:val="en-CA"/>
        </w:rPr>
        <w:t>ranslink</w:t>
      </w:r>
      <w:proofErr w:type="spellEnd"/>
      <w:r>
        <w:rPr>
          <w:rStyle w:val="Hyperlink"/>
          <w:rFonts w:ascii="Arial" w:hAnsi="Arial" w:cs="Arial"/>
          <w:color w:val="auto"/>
          <w:sz w:val="24"/>
          <w:szCs w:val="24"/>
          <w:u w:val="none"/>
          <w:lang w:val="en-CA"/>
        </w:rPr>
        <w:t xml:space="preserve"> abated the</w:t>
      </w:r>
      <w:r w:rsidR="00B830D8">
        <w:rPr>
          <w:rStyle w:val="Hyperlink"/>
          <w:rFonts w:ascii="Arial" w:hAnsi="Arial" w:cs="Arial"/>
          <w:color w:val="auto"/>
          <w:sz w:val="24"/>
          <w:szCs w:val="24"/>
          <w:u w:val="none"/>
          <w:lang w:val="en-CA"/>
        </w:rPr>
        <w:t xml:space="preserve"> tripping</w:t>
      </w:r>
      <w:r>
        <w:rPr>
          <w:rStyle w:val="Hyperlink"/>
          <w:rFonts w:ascii="Arial" w:hAnsi="Arial" w:cs="Arial"/>
          <w:color w:val="auto"/>
          <w:sz w:val="24"/>
          <w:szCs w:val="24"/>
          <w:u w:val="none"/>
          <w:lang w:val="en-CA"/>
        </w:rPr>
        <w:t xml:space="preserve"> hazard by </w:t>
      </w:r>
      <w:r w:rsidR="00B67473">
        <w:rPr>
          <w:rStyle w:val="Hyperlink"/>
          <w:rFonts w:ascii="Arial" w:hAnsi="Arial" w:cs="Arial"/>
          <w:color w:val="auto"/>
          <w:sz w:val="24"/>
          <w:szCs w:val="24"/>
          <w:u w:val="none"/>
          <w:lang w:val="en-CA"/>
        </w:rPr>
        <w:t>cutting the grass to a uniform height</w:t>
      </w:r>
      <w:r w:rsidR="00BD2E56">
        <w:rPr>
          <w:rStyle w:val="Hyperlink"/>
          <w:rFonts w:ascii="Arial" w:hAnsi="Arial" w:cs="Arial"/>
          <w:color w:val="auto"/>
          <w:sz w:val="24"/>
          <w:szCs w:val="24"/>
          <w:u w:val="none"/>
          <w:lang w:val="en-CA"/>
        </w:rPr>
        <w:t>, such that the ramp could now be seen</w:t>
      </w:r>
      <w:r w:rsidR="00B67473">
        <w:rPr>
          <w:rStyle w:val="Hyperlink"/>
          <w:rFonts w:ascii="Arial" w:hAnsi="Arial" w:cs="Arial"/>
          <w:color w:val="auto"/>
          <w:sz w:val="24"/>
          <w:szCs w:val="24"/>
          <w:u w:val="none"/>
          <w:lang w:val="en-CA"/>
        </w:rPr>
        <w:t xml:space="preserve">. Steps taken by a defendant to abate a hazard after an accident do not necessarily prove they were steps taken to comply with a duty of care, but it can be considered by the courts in their assessment of the same. The court held that the risk of injury was foreseeable by </w:t>
      </w:r>
      <w:proofErr w:type="spellStart"/>
      <w:proofErr w:type="gramStart"/>
      <w:r w:rsidR="00E969C4">
        <w:rPr>
          <w:rStyle w:val="Hyperlink"/>
          <w:rFonts w:ascii="Arial" w:hAnsi="Arial" w:cs="Arial"/>
          <w:color w:val="auto"/>
          <w:sz w:val="24"/>
          <w:szCs w:val="24"/>
          <w:u w:val="none"/>
          <w:lang w:val="en-CA"/>
        </w:rPr>
        <w:t>T</w:t>
      </w:r>
      <w:r w:rsidR="00B67473">
        <w:rPr>
          <w:rStyle w:val="Hyperlink"/>
          <w:rFonts w:ascii="Arial" w:hAnsi="Arial" w:cs="Arial"/>
          <w:color w:val="auto"/>
          <w:sz w:val="24"/>
          <w:szCs w:val="24"/>
          <w:u w:val="none"/>
          <w:lang w:val="en-CA"/>
        </w:rPr>
        <w:t>ranslink</w:t>
      </w:r>
      <w:proofErr w:type="spellEnd"/>
      <w:proofErr w:type="gramEnd"/>
      <w:r w:rsidR="00B67473">
        <w:rPr>
          <w:rStyle w:val="Hyperlink"/>
          <w:rFonts w:ascii="Arial" w:hAnsi="Arial" w:cs="Arial"/>
          <w:color w:val="auto"/>
          <w:sz w:val="24"/>
          <w:szCs w:val="24"/>
          <w:u w:val="none"/>
          <w:lang w:val="en-CA"/>
        </w:rPr>
        <w:t xml:space="preserve"> and they could have easily abated the hazard at nominal cost</w:t>
      </w:r>
      <w:r w:rsidR="00BD2E56">
        <w:rPr>
          <w:rStyle w:val="Hyperlink"/>
          <w:rFonts w:ascii="Arial" w:hAnsi="Arial" w:cs="Arial"/>
          <w:color w:val="auto"/>
          <w:sz w:val="24"/>
          <w:szCs w:val="24"/>
          <w:u w:val="none"/>
          <w:lang w:val="en-CA"/>
        </w:rPr>
        <w:t>, as shown by the grass being cut.</w:t>
      </w:r>
      <w:r w:rsidR="00B67473">
        <w:rPr>
          <w:rStyle w:val="Hyperlink"/>
          <w:rFonts w:ascii="Arial" w:hAnsi="Arial" w:cs="Arial"/>
          <w:color w:val="auto"/>
          <w:sz w:val="24"/>
          <w:szCs w:val="24"/>
          <w:u w:val="none"/>
          <w:lang w:val="en-CA"/>
        </w:rPr>
        <w:t xml:space="preserve"> (para 51)</w:t>
      </w:r>
    </w:p>
    <w:p w14:paraId="34ED3659" w14:textId="77777777" w:rsidR="00E969C4" w:rsidRDefault="00E969C4" w:rsidP="00E969C4">
      <w:pPr>
        <w:pStyle w:val="ListParagraph"/>
        <w:ind w:left="900"/>
        <w:jc w:val="both"/>
        <w:rPr>
          <w:rStyle w:val="Hyperlink"/>
          <w:rFonts w:ascii="Arial" w:hAnsi="Arial" w:cs="Arial"/>
          <w:color w:val="auto"/>
          <w:sz w:val="24"/>
          <w:szCs w:val="24"/>
          <w:u w:val="none"/>
          <w:lang w:val="en-CA"/>
        </w:rPr>
      </w:pPr>
    </w:p>
    <w:p w14:paraId="78401FCC" w14:textId="6A1EEF6E" w:rsidR="00E969C4" w:rsidRDefault="00E969C4" w:rsidP="00B67473">
      <w:pPr>
        <w:pStyle w:val="ListParagraph"/>
        <w:numPr>
          <w:ilvl w:val="0"/>
          <w:numId w:val="37"/>
        </w:numPr>
        <w:jc w:val="both"/>
        <w:rPr>
          <w:rStyle w:val="Hyperlink"/>
          <w:rFonts w:ascii="Arial" w:hAnsi="Arial" w:cs="Arial"/>
          <w:color w:val="auto"/>
          <w:sz w:val="24"/>
          <w:szCs w:val="24"/>
          <w:u w:val="none"/>
          <w:lang w:val="en-CA"/>
        </w:rPr>
      </w:pPr>
      <w:r>
        <w:rPr>
          <w:rStyle w:val="Hyperlink"/>
          <w:rFonts w:ascii="Arial" w:hAnsi="Arial" w:cs="Arial"/>
          <w:color w:val="auto"/>
          <w:sz w:val="24"/>
          <w:szCs w:val="24"/>
          <w:u w:val="none"/>
          <w:lang w:val="en-CA"/>
        </w:rPr>
        <w:t>Of note, since the reasons were released, the ramp is now painted yellow!</w:t>
      </w:r>
    </w:p>
    <w:p w14:paraId="3A9CBB1D" w14:textId="77777777" w:rsidR="00B67473" w:rsidRPr="00B830D8" w:rsidRDefault="00B67473" w:rsidP="00BB359D">
      <w:pPr>
        <w:ind w:left="540"/>
        <w:jc w:val="both"/>
        <w:rPr>
          <w:rStyle w:val="Hyperlink"/>
          <w:rFonts w:ascii="Arial" w:hAnsi="Arial" w:cs="Arial"/>
          <w:color w:val="auto"/>
          <w:sz w:val="24"/>
          <w:szCs w:val="24"/>
          <w:u w:val="none"/>
          <w:lang w:val="en-CA"/>
        </w:rPr>
      </w:pPr>
    </w:p>
    <w:p w14:paraId="21324240" w14:textId="77777777" w:rsidR="00756FC0" w:rsidRDefault="00756FC0" w:rsidP="00756FC0">
      <w:pPr>
        <w:rPr>
          <w:rStyle w:val="Hyperlink"/>
          <w:rFonts w:ascii="Arial" w:hAnsi="Arial" w:cs="Arial"/>
          <w:b/>
          <w:color w:val="auto"/>
          <w:sz w:val="24"/>
          <w:szCs w:val="24"/>
          <w:u w:val="none"/>
          <w:lang w:val="en-CA"/>
        </w:rPr>
      </w:pPr>
    </w:p>
    <w:p w14:paraId="20246266" w14:textId="77777777" w:rsidR="00756FC0" w:rsidRPr="00442ACB" w:rsidRDefault="00756FC0" w:rsidP="00756FC0">
      <w:pPr>
        <w:rPr>
          <w:rStyle w:val="Hyperlink"/>
          <w:rFonts w:ascii="Arial" w:hAnsi="Arial" w:cs="Arial"/>
          <w:b/>
          <w:color w:val="auto"/>
          <w:sz w:val="24"/>
          <w:szCs w:val="24"/>
          <w:u w:val="none"/>
          <w:lang w:val="en-CA"/>
        </w:rPr>
      </w:pPr>
      <w:r w:rsidRPr="00442ACB">
        <w:rPr>
          <w:rStyle w:val="Hyperlink"/>
          <w:rFonts w:ascii="Arial" w:hAnsi="Arial" w:cs="Arial"/>
          <w:b/>
          <w:color w:val="auto"/>
          <w:sz w:val="24"/>
          <w:szCs w:val="24"/>
          <w:u w:val="none"/>
          <w:lang w:val="en-CA"/>
        </w:rPr>
        <w:t>1.13 Liability in the context of suing a municipality, the government, or the Crown</w:t>
      </w:r>
    </w:p>
    <w:p w14:paraId="2EDFB208" w14:textId="77777777" w:rsidR="00756FC0" w:rsidRPr="00442ACB" w:rsidRDefault="00756FC0" w:rsidP="00756FC0">
      <w:pPr>
        <w:rPr>
          <w:rStyle w:val="Hyperlink"/>
          <w:rFonts w:ascii="Arial" w:hAnsi="Arial" w:cs="Arial"/>
          <w:b/>
          <w:color w:val="auto"/>
          <w:sz w:val="24"/>
          <w:szCs w:val="24"/>
          <w:u w:val="none"/>
          <w:lang w:val="en-CA"/>
        </w:rPr>
      </w:pPr>
    </w:p>
    <w:p w14:paraId="56BDA19D" w14:textId="77777777" w:rsidR="00756FC0" w:rsidRPr="00442ACB" w:rsidRDefault="00756FC0" w:rsidP="00756FC0">
      <w:pPr>
        <w:pStyle w:val="Default"/>
        <w:numPr>
          <w:ilvl w:val="0"/>
          <w:numId w:val="28"/>
        </w:numPr>
        <w:spacing w:after="200"/>
        <w:jc w:val="both"/>
        <w:rPr>
          <w:rStyle w:val="Hyperlink"/>
          <w:rFonts w:ascii="Arial" w:hAnsi="Arial" w:cs="Arial"/>
          <w:color w:val="auto"/>
          <w:u w:val="none"/>
          <w:lang w:val="en-CA"/>
        </w:rPr>
      </w:pPr>
      <w:r w:rsidRPr="00442ACB">
        <w:rPr>
          <w:rStyle w:val="Hyperlink"/>
          <w:rFonts w:ascii="Arial" w:hAnsi="Arial" w:cs="Arial"/>
          <w:color w:val="auto"/>
          <w:u w:val="none"/>
          <w:lang w:val="en-CA"/>
        </w:rPr>
        <w:t xml:space="preserve">While municipalities, the government, and the Crown are all subject to all the liabilities to which it would be liable for if it was as a person by virtue of the </w:t>
      </w:r>
      <w:hyperlink r:id="rId94" w:history="1">
        <w:r w:rsidRPr="00442ACB">
          <w:rPr>
            <w:rStyle w:val="Hyperlink"/>
            <w:rFonts w:ascii="Arial" w:hAnsi="Arial" w:cs="Arial"/>
            <w:i/>
            <w:u w:val="none"/>
            <w:lang w:val="en-CA"/>
          </w:rPr>
          <w:t>Crown Proceedings Act</w:t>
        </w:r>
        <w:r w:rsidRPr="00442ACB">
          <w:rPr>
            <w:rStyle w:val="Hyperlink"/>
            <w:rFonts w:ascii="Arial" w:hAnsi="Arial" w:cs="Arial"/>
            <w:u w:val="none"/>
            <w:lang w:val="en-CA"/>
          </w:rPr>
          <w:t>, RSBC 1996, c.89</w:t>
        </w:r>
      </w:hyperlink>
      <w:r w:rsidRPr="00442ACB">
        <w:rPr>
          <w:rStyle w:val="Hyperlink"/>
          <w:rFonts w:ascii="Arial" w:hAnsi="Arial" w:cs="Arial"/>
          <w:color w:val="auto"/>
          <w:u w:val="none"/>
          <w:lang w:val="en-CA"/>
        </w:rPr>
        <w:t>, there are legal hurdles which must be considered prior to attempting to bring an action against any of these entities.</w:t>
      </w:r>
    </w:p>
    <w:p w14:paraId="43EDF387" w14:textId="77777777" w:rsidR="00756FC0" w:rsidRPr="00442ACB" w:rsidRDefault="00756FC0" w:rsidP="00756FC0">
      <w:pPr>
        <w:pStyle w:val="Default"/>
        <w:numPr>
          <w:ilvl w:val="0"/>
          <w:numId w:val="28"/>
        </w:numPr>
        <w:spacing w:after="200"/>
        <w:jc w:val="both"/>
        <w:rPr>
          <w:rStyle w:val="Hyperlink"/>
          <w:rFonts w:ascii="Arial" w:hAnsi="Arial" w:cs="Arial"/>
          <w:color w:val="auto"/>
          <w:u w:val="none"/>
          <w:lang w:val="en-CA"/>
        </w:rPr>
      </w:pPr>
      <w:r w:rsidRPr="00442ACB">
        <w:rPr>
          <w:rStyle w:val="Hyperlink"/>
          <w:rFonts w:ascii="Arial" w:hAnsi="Arial" w:cs="Arial"/>
          <w:color w:val="auto"/>
          <w:u w:val="none"/>
          <w:lang w:val="en-CA"/>
        </w:rPr>
        <w:t xml:space="preserve">S.8(1) of the </w:t>
      </w:r>
      <w:r w:rsidRPr="00442ACB">
        <w:rPr>
          <w:rStyle w:val="Hyperlink"/>
          <w:rFonts w:ascii="Arial" w:hAnsi="Arial" w:cs="Arial"/>
          <w:i/>
          <w:color w:val="auto"/>
          <w:u w:val="none"/>
          <w:lang w:val="en-CA"/>
        </w:rPr>
        <w:t xml:space="preserve">Occupier’s Liability Act </w:t>
      </w:r>
      <w:r w:rsidRPr="00442ACB">
        <w:rPr>
          <w:rStyle w:val="Hyperlink"/>
          <w:rFonts w:ascii="Arial" w:hAnsi="Arial" w:cs="Arial"/>
          <w:color w:val="auto"/>
          <w:u w:val="none"/>
          <w:lang w:val="en-CA"/>
        </w:rPr>
        <w:t xml:space="preserve">states that while the </w:t>
      </w:r>
      <w:r w:rsidRPr="00442ACB">
        <w:rPr>
          <w:rStyle w:val="Hyperlink"/>
          <w:rFonts w:ascii="Arial" w:hAnsi="Arial" w:cs="Arial"/>
          <w:i/>
          <w:color w:val="auto"/>
          <w:u w:val="none"/>
          <w:lang w:val="en-CA"/>
        </w:rPr>
        <w:t xml:space="preserve">Act </w:t>
      </w:r>
      <w:r w:rsidRPr="00442ACB">
        <w:rPr>
          <w:rStyle w:val="Hyperlink"/>
          <w:rFonts w:ascii="Arial" w:hAnsi="Arial" w:cs="Arial"/>
          <w:color w:val="auto"/>
          <w:u w:val="none"/>
          <w:lang w:val="en-CA"/>
        </w:rPr>
        <w:t xml:space="preserve">does apply to municipalities, the government, and to the Crown (as evidenced by s.8(1) of the </w:t>
      </w:r>
      <w:r w:rsidRPr="00442ACB">
        <w:rPr>
          <w:rStyle w:val="Hyperlink"/>
          <w:rFonts w:ascii="Arial" w:hAnsi="Arial" w:cs="Arial"/>
          <w:i/>
          <w:color w:val="auto"/>
          <w:u w:val="none"/>
          <w:lang w:val="en-CA"/>
        </w:rPr>
        <w:t xml:space="preserve">Act </w:t>
      </w:r>
      <w:r w:rsidRPr="00442ACB">
        <w:rPr>
          <w:rStyle w:val="Hyperlink"/>
          <w:rFonts w:ascii="Arial" w:hAnsi="Arial" w:cs="Arial"/>
          <w:color w:val="auto"/>
          <w:u w:val="none"/>
          <w:lang w:val="en-CA"/>
        </w:rPr>
        <w:t xml:space="preserve">and the decision in </w:t>
      </w:r>
      <w:r w:rsidRPr="00442ACB">
        <w:rPr>
          <w:rStyle w:val="Hyperlink"/>
          <w:rFonts w:ascii="Arial" w:hAnsi="Arial" w:cs="Arial"/>
          <w:i/>
          <w:color w:val="auto"/>
          <w:u w:val="none"/>
          <w:lang w:val="en-CA"/>
        </w:rPr>
        <w:t>Abdi</w:t>
      </w:r>
      <w:r w:rsidRPr="00442ACB">
        <w:rPr>
          <w:rStyle w:val="Hyperlink"/>
          <w:rFonts w:ascii="Arial" w:hAnsi="Arial" w:cs="Arial"/>
          <w:color w:val="auto"/>
          <w:u w:val="none"/>
          <w:lang w:val="en-CA"/>
        </w:rPr>
        <w:t>), there are exceptions.</w:t>
      </w:r>
    </w:p>
    <w:p w14:paraId="1AA466AD" w14:textId="77777777" w:rsidR="00756FC0" w:rsidRPr="00442ACB" w:rsidRDefault="00756FC0" w:rsidP="00756FC0">
      <w:pPr>
        <w:pStyle w:val="Default"/>
        <w:numPr>
          <w:ilvl w:val="0"/>
          <w:numId w:val="28"/>
        </w:numPr>
        <w:spacing w:after="200"/>
        <w:jc w:val="both"/>
        <w:rPr>
          <w:rStyle w:val="Hyperlink"/>
          <w:rFonts w:ascii="Arial" w:hAnsi="Arial" w:cs="Arial"/>
          <w:color w:val="auto"/>
          <w:u w:val="none"/>
          <w:lang w:val="en-CA"/>
        </w:rPr>
      </w:pPr>
      <w:r w:rsidRPr="00442ACB">
        <w:rPr>
          <w:rStyle w:val="Hyperlink"/>
          <w:rFonts w:ascii="Arial" w:hAnsi="Arial" w:cs="Arial"/>
          <w:color w:val="auto"/>
          <w:u w:val="none"/>
          <w:lang w:val="en-CA"/>
        </w:rPr>
        <w:t xml:space="preserve">S.8(2) of the </w:t>
      </w:r>
      <w:r w:rsidRPr="00442ACB">
        <w:rPr>
          <w:rStyle w:val="Hyperlink"/>
          <w:rFonts w:ascii="Arial" w:hAnsi="Arial" w:cs="Arial"/>
          <w:i/>
          <w:color w:val="auto"/>
          <w:u w:val="none"/>
          <w:lang w:val="en-CA"/>
        </w:rPr>
        <w:t xml:space="preserve">Act </w:t>
      </w:r>
      <w:r w:rsidRPr="00442ACB">
        <w:rPr>
          <w:rStyle w:val="Hyperlink"/>
          <w:rFonts w:ascii="Arial" w:hAnsi="Arial" w:cs="Arial"/>
          <w:color w:val="auto"/>
          <w:u w:val="none"/>
          <w:lang w:val="en-CA"/>
        </w:rPr>
        <w:t xml:space="preserve">states that the </w:t>
      </w:r>
      <w:r w:rsidRPr="00442ACB">
        <w:rPr>
          <w:rStyle w:val="Hyperlink"/>
          <w:rFonts w:ascii="Arial" w:hAnsi="Arial" w:cs="Arial"/>
          <w:i/>
          <w:color w:val="auto"/>
          <w:u w:val="none"/>
          <w:lang w:val="en-CA"/>
        </w:rPr>
        <w:t xml:space="preserve">Act </w:t>
      </w:r>
      <w:r w:rsidRPr="00442ACB">
        <w:rPr>
          <w:rStyle w:val="Hyperlink"/>
          <w:rFonts w:ascii="Arial" w:hAnsi="Arial" w:cs="Arial"/>
          <w:color w:val="auto"/>
          <w:u w:val="none"/>
          <w:lang w:val="en-CA"/>
        </w:rPr>
        <w:t>does not apply to the government, the Crown, or a municipality if they are the occupier of:</w:t>
      </w:r>
    </w:p>
    <w:p w14:paraId="3003AC27" w14:textId="77777777" w:rsidR="00756FC0" w:rsidRPr="00442ACB" w:rsidRDefault="00756FC0" w:rsidP="00756FC0">
      <w:pPr>
        <w:pStyle w:val="Default"/>
        <w:spacing w:after="200"/>
        <w:ind w:left="1440" w:right="1440"/>
        <w:jc w:val="both"/>
        <w:rPr>
          <w:rStyle w:val="Hyperlink"/>
          <w:rFonts w:ascii="Arial" w:hAnsi="Arial" w:cs="Arial"/>
          <w:i/>
          <w:color w:val="auto"/>
          <w:sz w:val="22"/>
          <w:u w:val="none"/>
          <w:lang w:val="en-CA"/>
        </w:rPr>
      </w:pPr>
      <w:r w:rsidRPr="00442ACB">
        <w:rPr>
          <w:rStyle w:val="Hyperlink"/>
          <w:rFonts w:ascii="Arial" w:hAnsi="Arial" w:cs="Arial"/>
          <w:i/>
          <w:color w:val="auto"/>
          <w:sz w:val="22"/>
          <w:u w:val="none"/>
          <w:lang w:val="en-CA"/>
        </w:rPr>
        <w:t>(a) a public highway, other than a recreational trail referred to in section 3 (3.3) (c),</w:t>
      </w:r>
    </w:p>
    <w:p w14:paraId="17F01B94" w14:textId="77777777" w:rsidR="00756FC0" w:rsidRPr="00442ACB" w:rsidRDefault="00756FC0" w:rsidP="00756FC0">
      <w:pPr>
        <w:pStyle w:val="Default"/>
        <w:spacing w:after="200"/>
        <w:ind w:left="1440" w:right="1440"/>
        <w:jc w:val="both"/>
        <w:rPr>
          <w:rStyle w:val="Hyperlink"/>
          <w:rFonts w:ascii="Arial" w:hAnsi="Arial" w:cs="Arial"/>
          <w:i/>
          <w:color w:val="auto"/>
          <w:sz w:val="22"/>
          <w:u w:val="none"/>
          <w:lang w:val="en-CA"/>
        </w:rPr>
      </w:pPr>
      <w:r w:rsidRPr="00442ACB">
        <w:rPr>
          <w:rStyle w:val="Hyperlink"/>
          <w:rFonts w:ascii="Arial" w:hAnsi="Arial" w:cs="Arial"/>
          <w:i/>
          <w:color w:val="auto"/>
          <w:sz w:val="22"/>
          <w:u w:val="none"/>
          <w:lang w:val="en-CA"/>
        </w:rPr>
        <w:t>(b) a public road,</w:t>
      </w:r>
    </w:p>
    <w:p w14:paraId="715EB436" w14:textId="77777777" w:rsidR="00756FC0" w:rsidRPr="00442ACB" w:rsidRDefault="00756FC0" w:rsidP="00756FC0">
      <w:pPr>
        <w:pStyle w:val="Default"/>
        <w:spacing w:after="200"/>
        <w:ind w:left="1440" w:right="1440"/>
        <w:jc w:val="both"/>
        <w:rPr>
          <w:rStyle w:val="Hyperlink"/>
          <w:rFonts w:ascii="Arial" w:hAnsi="Arial" w:cs="Arial"/>
          <w:i/>
          <w:color w:val="auto"/>
          <w:sz w:val="22"/>
          <w:u w:val="none"/>
          <w:lang w:val="en-CA"/>
        </w:rPr>
      </w:pPr>
      <w:r w:rsidRPr="00442ACB">
        <w:rPr>
          <w:rStyle w:val="Hyperlink"/>
          <w:rFonts w:ascii="Arial" w:hAnsi="Arial" w:cs="Arial"/>
          <w:i/>
          <w:color w:val="auto"/>
          <w:sz w:val="22"/>
          <w:u w:val="none"/>
          <w:lang w:val="en-CA"/>
        </w:rPr>
        <w:t>(c) a road under the Forest Act,</w:t>
      </w:r>
    </w:p>
    <w:p w14:paraId="59346557" w14:textId="77777777" w:rsidR="00756FC0" w:rsidRPr="00442ACB" w:rsidRDefault="00756FC0" w:rsidP="00756FC0">
      <w:pPr>
        <w:pStyle w:val="Default"/>
        <w:spacing w:after="200"/>
        <w:ind w:left="1440" w:right="1440"/>
        <w:jc w:val="both"/>
        <w:rPr>
          <w:rStyle w:val="Hyperlink"/>
          <w:rFonts w:ascii="Arial" w:hAnsi="Arial" w:cs="Arial"/>
          <w:i/>
          <w:color w:val="auto"/>
          <w:sz w:val="22"/>
          <w:u w:val="none"/>
          <w:lang w:val="en-CA"/>
        </w:rPr>
      </w:pPr>
      <w:r w:rsidRPr="00442ACB">
        <w:rPr>
          <w:rStyle w:val="Hyperlink"/>
          <w:rFonts w:ascii="Arial" w:hAnsi="Arial" w:cs="Arial"/>
          <w:i/>
          <w:color w:val="auto"/>
          <w:sz w:val="22"/>
          <w:u w:val="none"/>
          <w:lang w:val="en-CA"/>
        </w:rPr>
        <w:t>(d) a private road as defined in section 2 (1) of the Motor Vehicle Act, other than a private road referred to in section 3 (3.3) (b) (iv) of this Act, or</w:t>
      </w:r>
    </w:p>
    <w:p w14:paraId="4A209FD5" w14:textId="77777777" w:rsidR="00756FC0" w:rsidRPr="00442ACB" w:rsidRDefault="00756FC0" w:rsidP="00756FC0">
      <w:pPr>
        <w:pStyle w:val="Default"/>
        <w:spacing w:after="200"/>
        <w:ind w:left="1440" w:right="1440"/>
        <w:jc w:val="both"/>
        <w:rPr>
          <w:rStyle w:val="Hyperlink"/>
          <w:rFonts w:ascii="Arial" w:hAnsi="Arial" w:cs="Arial"/>
          <w:i/>
          <w:color w:val="auto"/>
          <w:sz w:val="22"/>
          <w:u w:val="none"/>
          <w:lang w:val="en-CA"/>
        </w:rPr>
      </w:pPr>
      <w:r w:rsidRPr="00442ACB">
        <w:rPr>
          <w:rStyle w:val="Hyperlink"/>
          <w:rFonts w:ascii="Arial" w:hAnsi="Arial" w:cs="Arial"/>
          <w:i/>
          <w:color w:val="auto"/>
          <w:sz w:val="22"/>
          <w:u w:val="none"/>
          <w:lang w:val="en-CA"/>
        </w:rPr>
        <w:t>(e) an industrial road as defined in the Industrial Roads Act.</w:t>
      </w:r>
    </w:p>
    <w:p w14:paraId="60A0976D" w14:textId="77777777" w:rsidR="00756FC0" w:rsidRPr="00442ACB" w:rsidRDefault="00756FC0" w:rsidP="00756FC0">
      <w:pPr>
        <w:pStyle w:val="Default"/>
        <w:numPr>
          <w:ilvl w:val="0"/>
          <w:numId w:val="28"/>
        </w:numPr>
        <w:spacing w:after="200"/>
        <w:jc w:val="both"/>
        <w:rPr>
          <w:rStyle w:val="Hyperlink"/>
          <w:rFonts w:ascii="Arial" w:hAnsi="Arial" w:cs="Arial"/>
          <w:color w:val="auto"/>
          <w:u w:val="none"/>
          <w:lang w:val="en-CA"/>
        </w:rPr>
      </w:pPr>
      <w:r w:rsidRPr="00442ACB">
        <w:rPr>
          <w:rStyle w:val="Hyperlink"/>
          <w:rFonts w:ascii="Arial" w:hAnsi="Arial" w:cs="Arial"/>
          <w:color w:val="auto"/>
          <w:u w:val="none"/>
          <w:lang w:val="en-CA"/>
        </w:rPr>
        <w:t>Furthermore, municipalities, the government, and the Crown, are all subject to immunity from negligence liability when the allegedly negligent act stems from decisions that are of a “core policy decision” making character.</w:t>
      </w:r>
    </w:p>
    <w:p w14:paraId="0BDE23C4" w14:textId="77777777" w:rsidR="00756FC0" w:rsidRPr="00442ACB" w:rsidRDefault="00756FC0" w:rsidP="00756FC0">
      <w:pPr>
        <w:pStyle w:val="Default"/>
        <w:spacing w:after="200"/>
        <w:ind w:firstLine="540"/>
        <w:jc w:val="both"/>
        <w:rPr>
          <w:rStyle w:val="Hyperlink"/>
          <w:rFonts w:ascii="Arial" w:hAnsi="Arial" w:cs="Arial"/>
          <w:b/>
          <w:color w:val="auto"/>
          <w:u w:val="none"/>
          <w:lang w:val="en-CA"/>
        </w:rPr>
      </w:pPr>
      <w:r w:rsidRPr="00442ACB">
        <w:rPr>
          <w:rStyle w:val="Hyperlink"/>
          <w:rFonts w:ascii="Arial" w:hAnsi="Arial" w:cs="Arial"/>
          <w:b/>
          <w:i/>
          <w:color w:val="auto"/>
          <w:u w:val="none"/>
          <w:lang w:val="en-CA"/>
        </w:rPr>
        <w:t>Nelson (City) v. Marchi</w:t>
      </w:r>
      <w:r w:rsidRPr="00442ACB">
        <w:rPr>
          <w:rStyle w:val="Hyperlink"/>
          <w:rFonts w:ascii="Arial" w:hAnsi="Arial" w:cs="Arial"/>
          <w:b/>
          <w:color w:val="auto"/>
          <w:u w:val="none"/>
          <w:lang w:val="en-CA"/>
        </w:rPr>
        <w:t xml:space="preserve">, </w:t>
      </w:r>
      <w:hyperlink r:id="rId95" w:history="1">
        <w:r w:rsidRPr="00442ACB">
          <w:rPr>
            <w:rStyle w:val="Hyperlink"/>
            <w:rFonts w:ascii="Arial" w:hAnsi="Arial" w:cs="Arial"/>
            <w:b/>
            <w:u w:val="none"/>
            <w:lang w:val="en-CA"/>
          </w:rPr>
          <w:t>2021 SCC 41</w:t>
        </w:r>
      </w:hyperlink>
    </w:p>
    <w:p w14:paraId="640ED0A5" w14:textId="77777777" w:rsidR="00756FC0" w:rsidRPr="00442ACB" w:rsidRDefault="00756FC0" w:rsidP="00756FC0">
      <w:pPr>
        <w:pStyle w:val="Default"/>
        <w:numPr>
          <w:ilvl w:val="0"/>
          <w:numId w:val="28"/>
        </w:numPr>
        <w:spacing w:after="200"/>
        <w:jc w:val="both"/>
        <w:rPr>
          <w:rFonts w:ascii="Arial" w:hAnsi="Arial" w:cs="Arial"/>
          <w:color w:val="auto"/>
          <w:lang w:val="en-CA"/>
        </w:rPr>
      </w:pPr>
      <w:r w:rsidRPr="00442ACB">
        <w:rPr>
          <w:rStyle w:val="Hyperlink"/>
          <w:rFonts w:ascii="Arial" w:hAnsi="Arial" w:cs="Arial"/>
          <w:color w:val="auto"/>
          <w:u w:val="none"/>
          <w:lang w:val="en-CA"/>
        </w:rPr>
        <w:t>In this case</w:t>
      </w:r>
      <w:r w:rsidRPr="00442ACB">
        <w:rPr>
          <w:rStyle w:val="Hyperlink"/>
          <w:rFonts w:ascii="Arial" w:hAnsi="Arial" w:cs="Arial"/>
          <w:color w:val="000000" w:themeColor="text1"/>
          <w:u w:val="none"/>
          <w:lang w:val="en-CA"/>
        </w:rPr>
        <w:t>, t</w:t>
      </w:r>
      <w:r w:rsidRPr="00442ACB">
        <w:rPr>
          <w:rFonts w:ascii="Arial" w:hAnsi="Arial" w:cs="Arial"/>
        </w:rPr>
        <w:t xml:space="preserve">he City of Nelson argued that it should not have to pay any damages to Ms. Marchi for the injuries that she suffered while crossing a snowbank created by the City, because snow clearing decisions are “core policy decisions” that are immune from negligence claims. </w:t>
      </w:r>
    </w:p>
    <w:p w14:paraId="27673DDB" w14:textId="77777777" w:rsidR="00756FC0" w:rsidRPr="00442ACB" w:rsidRDefault="00756FC0" w:rsidP="00756FC0">
      <w:pPr>
        <w:pStyle w:val="NormalWeb"/>
        <w:numPr>
          <w:ilvl w:val="0"/>
          <w:numId w:val="28"/>
        </w:numPr>
        <w:spacing w:before="0" w:beforeAutospacing="0" w:after="300" w:afterAutospacing="0" w:line="300" w:lineRule="atLeast"/>
        <w:jc w:val="both"/>
        <w:textAlignment w:val="baseline"/>
        <w:rPr>
          <w:rFonts w:ascii="Arial" w:hAnsi="Arial" w:cs="Arial"/>
          <w:color w:val="000000"/>
        </w:rPr>
      </w:pPr>
      <w:r w:rsidRPr="00442ACB">
        <w:rPr>
          <w:rFonts w:ascii="Arial" w:hAnsi="Arial" w:cs="Arial"/>
          <w:color w:val="000000"/>
          <w:lang w:val="en-US"/>
        </w:rPr>
        <w:t>At first instance, the judge agreed with the City that its snow clearing decision was a core policy decision and the City did not have to pay any damages to Ms. Marchi. She appealed to the BC Court of Appeal, which disagreed with the trial judge and ordered a new trial. The City of Nelson appealed that decision to the Supreme Court of Canada.</w:t>
      </w:r>
    </w:p>
    <w:p w14:paraId="3EBCD453" w14:textId="77777777" w:rsidR="00756FC0" w:rsidRPr="00442ACB" w:rsidRDefault="00756FC0" w:rsidP="00756FC0">
      <w:pPr>
        <w:pStyle w:val="Default"/>
        <w:numPr>
          <w:ilvl w:val="0"/>
          <w:numId w:val="28"/>
        </w:numPr>
        <w:spacing w:after="200"/>
        <w:jc w:val="both"/>
        <w:rPr>
          <w:rStyle w:val="Hyperlink"/>
          <w:rFonts w:ascii="Arial" w:hAnsi="Arial" w:cs="Arial"/>
          <w:color w:val="auto"/>
          <w:u w:val="none"/>
          <w:lang w:val="en-CA"/>
        </w:rPr>
      </w:pPr>
      <w:r w:rsidRPr="00442ACB">
        <w:rPr>
          <w:rStyle w:val="Hyperlink"/>
          <w:rFonts w:ascii="Arial" w:hAnsi="Arial" w:cs="Arial"/>
          <w:color w:val="000000" w:themeColor="text1"/>
          <w:u w:val="none"/>
          <w:lang w:val="en-CA"/>
        </w:rPr>
        <w:t>Karakatsanis &amp; Martin J, writing for the unanimous Court, explained how the “</w:t>
      </w:r>
      <w:r w:rsidRPr="00442ACB">
        <w:rPr>
          <w:rStyle w:val="Hyperlink"/>
          <w:rFonts w:ascii="Arial" w:hAnsi="Arial" w:cs="Arial"/>
          <w:i/>
          <w:color w:val="000000" w:themeColor="text1"/>
          <w:u w:val="none"/>
          <w:lang w:val="en-CA"/>
        </w:rPr>
        <w:t xml:space="preserve">Just </w:t>
      </w:r>
      <w:r w:rsidRPr="00442ACB">
        <w:rPr>
          <w:rStyle w:val="Hyperlink"/>
          <w:rFonts w:ascii="Arial" w:hAnsi="Arial" w:cs="Arial"/>
          <w:color w:val="000000" w:themeColor="text1"/>
          <w:u w:val="none"/>
          <w:lang w:val="en-CA"/>
        </w:rPr>
        <w:t xml:space="preserve">category” as explained in </w:t>
      </w:r>
      <w:r w:rsidRPr="00442ACB">
        <w:rPr>
          <w:rStyle w:val="Hyperlink"/>
          <w:rFonts w:ascii="Arial" w:hAnsi="Arial" w:cs="Arial"/>
          <w:i/>
          <w:color w:val="000000" w:themeColor="text1"/>
          <w:u w:val="none"/>
          <w:lang w:val="en-CA"/>
        </w:rPr>
        <w:t>Just v. British Columbia</w:t>
      </w:r>
      <w:r w:rsidRPr="00442ACB">
        <w:rPr>
          <w:rStyle w:val="Hyperlink"/>
          <w:rFonts w:ascii="Arial" w:hAnsi="Arial" w:cs="Arial"/>
          <w:color w:val="000000" w:themeColor="text1"/>
          <w:u w:val="none"/>
          <w:lang w:val="en-CA"/>
        </w:rPr>
        <w:t xml:space="preserve">, </w:t>
      </w:r>
      <w:hyperlink r:id="rId96" w:history="1">
        <w:r w:rsidRPr="00442ACB">
          <w:rPr>
            <w:rStyle w:val="Hyperlink"/>
            <w:rFonts w:ascii="Arial" w:hAnsi="Arial" w:cs="Arial"/>
            <w:u w:val="none"/>
            <w:lang w:val="en-CA"/>
          </w:rPr>
          <w:t>[1989] 2 SCR 1228</w:t>
        </w:r>
      </w:hyperlink>
      <w:r w:rsidRPr="00442ACB">
        <w:rPr>
          <w:rStyle w:val="Hyperlink"/>
          <w:rFonts w:ascii="Arial" w:hAnsi="Arial" w:cs="Arial"/>
          <w:color w:val="000000" w:themeColor="text1"/>
          <w:u w:val="none"/>
          <w:lang w:val="en-CA"/>
        </w:rPr>
        <w:t>, of previously established duties of care for provincial entities, interacts with core policy decisions.</w:t>
      </w:r>
    </w:p>
    <w:p w14:paraId="6D2A3EDA" w14:textId="77777777" w:rsidR="00756FC0" w:rsidRPr="00442ACB" w:rsidRDefault="00756FC0" w:rsidP="00756FC0">
      <w:pPr>
        <w:pStyle w:val="Default"/>
        <w:numPr>
          <w:ilvl w:val="1"/>
          <w:numId w:val="28"/>
        </w:numPr>
        <w:tabs>
          <w:tab w:val="clear" w:pos="1260"/>
          <w:tab w:val="num" w:pos="540"/>
        </w:tabs>
        <w:spacing w:after="200"/>
        <w:ind w:left="540"/>
        <w:jc w:val="both"/>
        <w:rPr>
          <w:rStyle w:val="Hyperlink"/>
          <w:rFonts w:ascii="Arial" w:hAnsi="Arial" w:cs="Arial"/>
          <w:color w:val="auto"/>
          <w:u w:val="none"/>
          <w:lang w:val="en-CA"/>
        </w:rPr>
      </w:pPr>
      <w:r w:rsidRPr="00442ACB">
        <w:rPr>
          <w:rStyle w:val="Hyperlink"/>
          <w:rFonts w:ascii="Arial" w:hAnsi="Arial" w:cs="Arial"/>
          <w:color w:val="000000" w:themeColor="text1"/>
          <w:u w:val="none"/>
          <w:lang w:val="en-CA"/>
        </w:rPr>
        <w:t xml:space="preserve">The Court outlined that in </w:t>
      </w:r>
      <w:r w:rsidRPr="00442ACB">
        <w:rPr>
          <w:rStyle w:val="Hyperlink"/>
          <w:rFonts w:ascii="Arial" w:hAnsi="Arial" w:cs="Arial"/>
          <w:i/>
          <w:color w:val="000000" w:themeColor="text1"/>
          <w:u w:val="none"/>
          <w:lang w:val="en-CA"/>
        </w:rPr>
        <w:t xml:space="preserve">Just </w:t>
      </w:r>
      <w:r w:rsidRPr="00442ACB">
        <w:rPr>
          <w:rStyle w:val="Hyperlink"/>
          <w:rFonts w:ascii="Arial" w:hAnsi="Arial" w:cs="Arial"/>
          <w:color w:val="000000" w:themeColor="text1"/>
          <w:u w:val="none"/>
          <w:lang w:val="en-CA"/>
        </w:rPr>
        <w:t>there was a sufficiently proximate relationship between users of a highway and the province, because in the creation of highways, the province creates a physical risk to which road users are invited. Risk is immediately foreseeable if maintenance is not upheld.</w:t>
      </w:r>
    </w:p>
    <w:p w14:paraId="08BA3513" w14:textId="77777777" w:rsidR="00756FC0" w:rsidRPr="00442ACB" w:rsidRDefault="00756FC0" w:rsidP="00756FC0">
      <w:pPr>
        <w:pStyle w:val="Default"/>
        <w:numPr>
          <w:ilvl w:val="1"/>
          <w:numId w:val="28"/>
        </w:numPr>
        <w:tabs>
          <w:tab w:val="clear" w:pos="1260"/>
          <w:tab w:val="num" w:pos="540"/>
        </w:tabs>
        <w:spacing w:after="200"/>
        <w:ind w:left="540"/>
        <w:jc w:val="both"/>
        <w:rPr>
          <w:rStyle w:val="Hyperlink"/>
          <w:rFonts w:ascii="Arial" w:hAnsi="Arial" w:cs="Arial"/>
          <w:color w:val="auto"/>
          <w:u w:val="none"/>
          <w:lang w:val="en-CA"/>
        </w:rPr>
      </w:pPr>
      <w:r w:rsidRPr="00442ACB">
        <w:rPr>
          <w:rStyle w:val="Hyperlink"/>
          <w:rFonts w:ascii="Arial" w:hAnsi="Arial" w:cs="Arial"/>
          <w:color w:val="000000" w:themeColor="text1"/>
          <w:u w:val="none"/>
          <w:lang w:val="en-CA"/>
        </w:rPr>
        <w:t xml:space="preserve">The Court described how in </w:t>
      </w:r>
      <w:r w:rsidRPr="00442ACB">
        <w:rPr>
          <w:rStyle w:val="Hyperlink"/>
          <w:rFonts w:ascii="Arial" w:hAnsi="Arial" w:cs="Arial"/>
          <w:i/>
          <w:color w:val="000000" w:themeColor="text1"/>
          <w:u w:val="none"/>
          <w:lang w:val="en-CA"/>
        </w:rPr>
        <w:t xml:space="preserve">Just </w:t>
      </w:r>
      <w:r w:rsidRPr="00442ACB">
        <w:rPr>
          <w:rStyle w:val="Hyperlink"/>
          <w:rFonts w:ascii="Arial" w:hAnsi="Arial" w:cs="Arial"/>
          <w:color w:val="000000" w:themeColor="text1"/>
          <w:u w:val="none"/>
          <w:lang w:val="en-CA"/>
        </w:rPr>
        <w:t>it was ruled that the duty of care should apply to public authority defendants “</w:t>
      </w:r>
      <w:r w:rsidRPr="00442ACB">
        <w:rPr>
          <w:rStyle w:val="Hyperlink"/>
          <w:rFonts w:ascii="Arial" w:hAnsi="Arial" w:cs="Arial"/>
          <w:i/>
          <w:color w:val="000000" w:themeColor="text1"/>
          <w:u w:val="none"/>
          <w:lang w:val="en-CA"/>
        </w:rPr>
        <w:t xml:space="preserve">unless there is a valid basis for its exclusion.” </w:t>
      </w:r>
      <w:r w:rsidRPr="00442ACB">
        <w:rPr>
          <w:rStyle w:val="Hyperlink"/>
          <w:rFonts w:ascii="Arial" w:hAnsi="Arial" w:cs="Arial"/>
          <w:color w:val="000000" w:themeColor="text1"/>
          <w:u w:val="none"/>
          <w:lang w:val="en-CA"/>
        </w:rPr>
        <w:t xml:space="preserve">These valid bases were deemed to be 1) a statutory provision that exempts the defendant from liability, and 2) immunity for “true” policy decisions. </w:t>
      </w:r>
    </w:p>
    <w:p w14:paraId="6A92C163" w14:textId="77777777" w:rsidR="00756FC0" w:rsidRPr="00442ACB" w:rsidRDefault="00756FC0" w:rsidP="00756FC0">
      <w:pPr>
        <w:pStyle w:val="Default"/>
        <w:numPr>
          <w:ilvl w:val="1"/>
          <w:numId w:val="28"/>
        </w:numPr>
        <w:tabs>
          <w:tab w:val="clear" w:pos="1260"/>
          <w:tab w:val="num" w:pos="540"/>
        </w:tabs>
        <w:spacing w:after="200"/>
        <w:ind w:left="540"/>
        <w:jc w:val="both"/>
        <w:rPr>
          <w:rStyle w:val="Hyperlink"/>
          <w:rFonts w:ascii="Arial" w:hAnsi="Arial" w:cs="Arial"/>
          <w:color w:val="auto"/>
          <w:u w:val="none"/>
          <w:lang w:val="en-CA"/>
        </w:rPr>
      </w:pPr>
      <w:r w:rsidRPr="00442ACB">
        <w:rPr>
          <w:rStyle w:val="Hyperlink"/>
          <w:rFonts w:ascii="Arial" w:hAnsi="Arial" w:cs="Arial"/>
          <w:color w:val="auto"/>
          <w:u w:val="none"/>
          <w:lang w:val="en-CA"/>
        </w:rPr>
        <w:t xml:space="preserve">At para. 29, the Court stated that the </w:t>
      </w:r>
      <w:r w:rsidRPr="00442ACB">
        <w:rPr>
          <w:rStyle w:val="Hyperlink"/>
          <w:rFonts w:ascii="Arial" w:hAnsi="Arial" w:cs="Arial"/>
          <w:i/>
          <w:color w:val="auto"/>
          <w:u w:val="none"/>
          <w:lang w:val="en-CA"/>
        </w:rPr>
        <w:t xml:space="preserve">Just </w:t>
      </w:r>
      <w:r w:rsidRPr="00442ACB">
        <w:rPr>
          <w:rStyle w:val="Hyperlink"/>
          <w:rFonts w:ascii="Arial" w:hAnsi="Arial" w:cs="Arial"/>
          <w:color w:val="auto"/>
          <w:u w:val="none"/>
          <w:lang w:val="en-CA"/>
        </w:rPr>
        <w:t xml:space="preserve">categories of cases are defined by the following criteria, and will not require the application of a </w:t>
      </w:r>
      <w:r w:rsidRPr="00442ACB">
        <w:rPr>
          <w:rStyle w:val="Hyperlink"/>
          <w:rFonts w:ascii="Arial" w:hAnsi="Arial" w:cs="Arial"/>
          <w:i/>
          <w:color w:val="auto"/>
          <w:u w:val="none"/>
          <w:lang w:val="en-CA"/>
        </w:rPr>
        <w:t xml:space="preserve">Cooper/Anns </w:t>
      </w:r>
      <w:r w:rsidRPr="00442ACB">
        <w:rPr>
          <w:rStyle w:val="Hyperlink"/>
          <w:rFonts w:ascii="Arial" w:hAnsi="Arial" w:cs="Arial"/>
          <w:color w:val="auto"/>
          <w:u w:val="none"/>
          <w:lang w:val="en-CA"/>
        </w:rPr>
        <w:t>analysis:</w:t>
      </w:r>
    </w:p>
    <w:p w14:paraId="1B11E89B" w14:textId="77777777" w:rsidR="00756FC0" w:rsidRPr="00442ACB" w:rsidRDefault="00756FC0" w:rsidP="00756FC0">
      <w:pPr>
        <w:pStyle w:val="Default"/>
        <w:spacing w:after="200"/>
        <w:ind w:left="720" w:right="720"/>
        <w:jc w:val="both"/>
        <w:rPr>
          <w:rStyle w:val="Hyperlink"/>
          <w:rFonts w:ascii="Arial" w:hAnsi="Arial" w:cs="Arial"/>
          <w:i/>
          <w:color w:val="auto"/>
          <w:sz w:val="22"/>
          <w:u w:val="none"/>
          <w:lang w:val="en-CA"/>
        </w:rPr>
      </w:pPr>
      <w:r w:rsidRPr="00442ACB">
        <w:rPr>
          <w:rStyle w:val="Hyperlink"/>
          <w:rFonts w:ascii="Arial" w:hAnsi="Arial" w:cs="Arial"/>
          <w:color w:val="auto"/>
          <w:sz w:val="22"/>
          <w:u w:val="none"/>
          <w:lang w:val="en-CA"/>
        </w:rPr>
        <w:t xml:space="preserve">[the </w:t>
      </w:r>
      <w:r w:rsidRPr="00442ACB">
        <w:rPr>
          <w:rStyle w:val="Hyperlink"/>
          <w:rFonts w:ascii="Arial" w:hAnsi="Arial" w:cs="Arial"/>
          <w:i/>
          <w:color w:val="auto"/>
          <w:sz w:val="22"/>
          <w:u w:val="none"/>
          <w:lang w:val="en-CA"/>
        </w:rPr>
        <w:t xml:space="preserve">Just </w:t>
      </w:r>
      <w:r w:rsidRPr="00442ACB">
        <w:rPr>
          <w:rStyle w:val="Hyperlink"/>
          <w:rFonts w:ascii="Arial" w:hAnsi="Arial" w:cs="Arial"/>
          <w:color w:val="auto"/>
          <w:sz w:val="22"/>
          <w:u w:val="none"/>
          <w:lang w:val="en-CA"/>
        </w:rPr>
        <w:t xml:space="preserve">category will apply where] </w:t>
      </w:r>
      <w:r w:rsidRPr="00442ACB">
        <w:rPr>
          <w:rStyle w:val="Hyperlink"/>
          <w:rFonts w:ascii="Arial" w:hAnsi="Arial" w:cs="Arial"/>
          <w:i/>
          <w:color w:val="auto"/>
          <w:sz w:val="22"/>
          <w:u w:val="none"/>
          <w:lang w:val="en-CA"/>
        </w:rPr>
        <w:t>a public authority has undertaken to maintain a public road or sidewalk to which the public is invited, and the plaintiff alleges they suffered personal injury as a result of the public authority’s failure to maintain the road or sidewalk in a reasonably safe condition.</w:t>
      </w:r>
    </w:p>
    <w:p w14:paraId="19153C88" w14:textId="77777777" w:rsidR="00756FC0" w:rsidRPr="00442ACB" w:rsidRDefault="00756FC0" w:rsidP="00756FC0">
      <w:pPr>
        <w:pStyle w:val="Default"/>
        <w:numPr>
          <w:ilvl w:val="1"/>
          <w:numId w:val="28"/>
        </w:numPr>
        <w:tabs>
          <w:tab w:val="clear" w:pos="1260"/>
          <w:tab w:val="num" w:pos="540"/>
        </w:tabs>
        <w:spacing w:after="200"/>
        <w:ind w:left="540"/>
        <w:jc w:val="both"/>
        <w:rPr>
          <w:rStyle w:val="Hyperlink"/>
          <w:rFonts w:ascii="Arial" w:hAnsi="Arial" w:cs="Arial"/>
          <w:color w:val="auto"/>
          <w:u w:val="none"/>
          <w:lang w:val="en-CA"/>
        </w:rPr>
      </w:pPr>
      <w:r w:rsidRPr="00442ACB">
        <w:rPr>
          <w:rStyle w:val="Hyperlink"/>
          <w:rFonts w:ascii="Arial" w:hAnsi="Arial" w:cs="Arial"/>
          <w:color w:val="auto"/>
          <w:u w:val="none"/>
          <w:lang w:val="en-CA"/>
        </w:rPr>
        <w:t xml:space="preserve"> At paras. 50-51, the Court explained the distinction between “core policy decisions” and “operational implementation of policy”.</w:t>
      </w:r>
    </w:p>
    <w:p w14:paraId="5EBFE60D" w14:textId="77777777" w:rsidR="00756FC0" w:rsidRPr="00442ACB" w:rsidRDefault="00756FC0" w:rsidP="00756FC0">
      <w:pPr>
        <w:pStyle w:val="Default"/>
        <w:spacing w:after="200"/>
        <w:ind w:left="720" w:right="720"/>
        <w:jc w:val="both"/>
        <w:rPr>
          <w:rStyle w:val="Hyperlink"/>
          <w:rFonts w:ascii="Arial" w:hAnsi="Arial" w:cs="Arial"/>
          <w:i/>
          <w:color w:val="auto"/>
          <w:sz w:val="22"/>
          <w:u w:val="none"/>
          <w:lang w:val="en-CA"/>
        </w:rPr>
      </w:pPr>
      <w:r w:rsidRPr="00442ACB">
        <w:rPr>
          <w:rStyle w:val="Hyperlink"/>
          <w:rFonts w:ascii="Arial" w:hAnsi="Arial" w:cs="Arial"/>
          <w:i/>
          <w:color w:val="auto"/>
          <w:sz w:val="22"/>
          <w:u w:val="none"/>
          <w:lang w:val="en-CA"/>
        </w:rPr>
        <w:t>[51] Nevertheless, our jurisprudence provides helpful guidance. Core policy decisions, shielded from negligence liability, are “decisions as to a course or principle of action that are based on public policy considerations, such as economic, social and political factors, provided they are neither irrational nor taken in bad faith” (Imperial Tobacco, at para. 90). They are a “narrow subset of discretionary decisions” because discretion “can imbue even routine tasks” and protecting all discretionary government decisions would therefore cast “the net of immunity too broadly” (paras. 84 and 88).</w:t>
      </w:r>
    </w:p>
    <w:p w14:paraId="02E966DB" w14:textId="77777777" w:rsidR="00756FC0" w:rsidRPr="00442ACB" w:rsidRDefault="00756FC0" w:rsidP="00756FC0">
      <w:pPr>
        <w:pStyle w:val="Default"/>
        <w:spacing w:after="200"/>
        <w:ind w:left="720" w:right="720"/>
        <w:jc w:val="both"/>
        <w:rPr>
          <w:rStyle w:val="Hyperlink"/>
          <w:rFonts w:ascii="Arial" w:hAnsi="Arial" w:cs="Arial"/>
          <w:i/>
          <w:color w:val="auto"/>
          <w:sz w:val="22"/>
          <w:u w:val="none"/>
          <w:lang w:val="en-CA"/>
        </w:rPr>
      </w:pPr>
      <w:r w:rsidRPr="00442ACB">
        <w:rPr>
          <w:rStyle w:val="Hyperlink"/>
          <w:rFonts w:ascii="Arial" w:hAnsi="Arial" w:cs="Arial"/>
          <w:i/>
          <w:color w:val="auto"/>
          <w:sz w:val="22"/>
          <w:u w:val="none"/>
          <w:lang w:val="en-CA"/>
        </w:rPr>
        <w:t>[52] Activities falling outside this protected sphere of core policy — that is, activities that open up a public authority to liability for negligence — have been defined as “the practical implementation of the formulated policies” or “the performance or carrying out of a policy” (Brown, at p. 441; see also Laurentide Motels, at p. 718). Such “operational” decisions are generally “made on the basis of administrative direction, expert or professional opinion, technical standards or general standards of reasonableness” (Brown, at p. 441).</w:t>
      </w:r>
    </w:p>
    <w:p w14:paraId="4F1B82C6" w14:textId="77777777" w:rsidR="00756FC0" w:rsidRPr="00442ACB" w:rsidRDefault="00756FC0" w:rsidP="00756FC0">
      <w:pPr>
        <w:pStyle w:val="Default"/>
        <w:numPr>
          <w:ilvl w:val="1"/>
          <w:numId w:val="28"/>
        </w:numPr>
        <w:tabs>
          <w:tab w:val="clear" w:pos="1260"/>
        </w:tabs>
        <w:spacing w:after="200"/>
        <w:ind w:left="540"/>
        <w:jc w:val="both"/>
        <w:rPr>
          <w:rStyle w:val="Hyperlink"/>
          <w:rFonts w:ascii="Arial" w:hAnsi="Arial" w:cs="Arial"/>
          <w:color w:val="auto"/>
          <w:u w:val="none"/>
          <w:lang w:val="en-CA"/>
        </w:rPr>
      </w:pPr>
      <w:r w:rsidRPr="00442ACB">
        <w:rPr>
          <w:rStyle w:val="Hyperlink"/>
          <w:rFonts w:ascii="Arial" w:hAnsi="Arial" w:cs="Arial"/>
          <w:color w:val="auto"/>
          <w:u w:val="none"/>
          <w:lang w:val="en-CA"/>
        </w:rPr>
        <w:t>At para. 67, the Court emphasized that:</w:t>
      </w:r>
    </w:p>
    <w:p w14:paraId="6D74CE01" w14:textId="77777777" w:rsidR="00756FC0" w:rsidRPr="00442ACB" w:rsidRDefault="00756FC0" w:rsidP="00756FC0">
      <w:pPr>
        <w:pStyle w:val="Default"/>
        <w:spacing w:after="200"/>
        <w:ind w:left="720" w:right="720"/>
        <w:jc w:val="both"/>
        <w:rPr>
          <w:rStyle w:val="Hyperlink"/>
          <w:rFonts w:ascii="Arial" w:hAnsi="Arial" w:cs="Arial"/>
          <w:i/>
          <w:color w:val="auto"/>
          <w:sz w:val="22"/>
          <w:u w:val="none"/>
          <w:lang w:val="en-CA"/>
        </w:rPr>
      </w:pPr>
      <w:r w:rsidRPr="00442ACB">
        <w:rPr>
          <w:rStyle w:val="Hyperlink"/>
          <w:rFonts w:ascii="Arial" w:hAnsi="Arial" w:cs="Arial"/>
          <w:i/>
          <w:color w:val="auto"/>
          <w:sz w:val="22"/>
          <w:u w:val="none"/>
          <w:lang w:val="en-CA"/>
        </w:rPr>
        <w:t>… core policy decisions are “decisions as to a course or principle of action that are based on public policy considerations, such as economic, social and political factors, provided they are neither irrational nor taken in bad faith” (Imperial Tobacco, at para. 90). They are a “narrow subset of discretionary decisions” — meaning, the presence of choice is not a marker of core policy (ibid., at paras. 84 and 88). Core policy decisions are immune from negligence liability because the legislative and executive branches have core institutional roles and competencies that must be protected from interference by the judiciary’s private law oversight. A court must consider the extent to which a government decision was based on public policy considerations and the extent to which the considerations impact the rationale for core policy immunity.</w:t>
      </w:r>
    </w:p>
    <w:p w14:paraId="350FF8AC" w14:textId="77777777" w:rsidR="00756FC0" w:rsidRPr="00442ACB" w:rsidRDefault="00756FC0" w:rsidP="00756FC0">
      <w:pPr>
        <w:pStyle w:val="Default"/>
        <w:numPr>
          <w:ilvl w:val="0"/>
          <w:numId w:val="28"/>
        </w:numPr>
        <w:spacing w:after="200"/>
        <w:jc w:val="both"/>
        <w:rPr>
          <w:rStyle w:val="Hyperlink"/>
          <w:rFonts w:ascii="Arial" w:hAnsi="Arial" w:cs="Arial"/>
          <w:color w:val="auto"/>
          <w:u w:val="none"/>
          <w:lang w:val="en-CA"/>
        </w:rPr>
      </w:pPr>
      <w:r w:rsidRPr="00442ACB">
        <w:rPr>
          <w:rStyle w:val="Hyperlink"/>
          <w:rFonts w:ascii="Arial" w:hAnsi="Arial" w:cs="Arial"/>
          <w:color w:val="auto"/>
          <w:u w:val="none"/>
          <w:lang w:val="en-CA"/>
        </w:rPr>
        <w:t xml:space="preserve">With these definitions in place, the Court concluded that the trial judge erred in the application of the core policy immunity, as the City’s actions fell outside its scope, and that the incident fell into the </w:t>
      </w:r>
      <w:r w:rsidRPr="00442ACB">
        <w:rPr>
          <w:rStyle w:val="Hyperlink"/>
          <w:rFonts w:ascii="Arial" w:hAnsi="Arial" w:cs="Arial"/>
          <w:i/>
          <w:color w:val="auto"/>
          <w:u w:val="none"/>
          <w:lang w:val="en-CA"/>
        </w:rPr>
        <w:t xml:space="preserve">Just </w:t>
      </w:r>
      <w:r w:rsidRPr="00442ACB">
        <w:rPr>
          <w:rStyle w:val="Hyperlink"/>
          <w:rFonts w:ascii="Arial" w:hAnsi="Arial" w:cs="Arial"/>
          <w:color w:val="auto"/>
          <w:u w:val="none"/>
          <w:lang w:val="en-CA"/>
        </w:rPr>
        <w:t>category. A new trial was ordered.</w:t>
      </w:r>
    </w:p>
    <w:p w14:paraId="37C2B67E" w14:textId="53EBD6D6" w:rsidR="00E77A30" w:rsidRPr="0019776A" w:rsidRDefault="00E77A30" w:rsidP="00F2566D">
      <w:pPr>
        <w:pStyle w:val="Default"/>
        <w:keepNext/>
        <w:keepLines/>
        <w:numPr>
          <w:ilvl w:val="1"/>
          <w:numId w:val="30"/>
        </w:numPr>
        <w:spacing w:before="240" w:after="240"/>
        <w:jc w:val="both"/>
        <w:rPr>
          <w:rStyle w:val="Hyperlink"/>
          <w:rFonts w:ascii="Arial" w:hAnsi="Arial" w:cs="Arial"/>
          <w:b/>
          <w:color w:val="auto"/>
          <w:u w:val="none"/>
          <w:lang w:val="en-CA"/>
        </w:rPr>
      </w:pPr>
      <w:r w:rsidRPr="0019776A">
        <w:rPr>
          <w:rStyle w:val="Hyperlink"/>
          <w:rFonts w:ascii="Arial" w:hAnsi="Arial" w:cs="Arial"/>
          <w:b/>
          <w:color w:val="auto"/>
          <w:u w:val="none"/>
          <w:lang w:val="en-CA"/>
        </w:rPr>
        <w:t>Liability in the context of sexual assault</w:t>
      </w:r>
    </w:p>
    <w:p w14:paraId="43DFD3B1" w14:textId="3CFDF318" w:rsidR="00E77A30" w:rsidRPr="00382E48" w:rsidRDefault="00E77A30" w:rsidP="00EF10C2">
      <w:pPr>
        <w:pStyle w:val="ListParagraph"/>
        <w:numPr>
          <w:ilvl w:val="0"/>
          <w:numId w:val="28"/>
        </w:numPr>
        <w:spacing w:after="200" w:line="276" w:lineRule="auto"/>
        <w:jc w:val="both"/>
        <w:rPr>
          <w:rFonts w:ascii="Arial" w:hAnsi="Arial" w:cs="Arial"/>
          <w:b/>
          <w:sz w:val="24"/>
          <w:szCs w:val="24"/>
          <w:u w:val="single"/>
          <w:lang w:val="en-CA"/>
        </w:rPr>
      </w:pPr>
      <w:r>
        <w:rPr>
          <w:rFonts w:ascii="Arial" w:hAnsi="Arial" w:cs="Arial"/>
          <w:sz w:val="24"/>
          <w:szCs w:val="24"/>
          <w:lang w:val="en-CA"/>
        </w:rPr>
        <w:t>This is an area</w:t>
      </w:r>
      <w:r w:rsidR="00442ACB">
        <w:rPr>
          <w:rFonts w:ascii="Arial" w:hAnsi="Arial" w:cs="Arial"/>
          <w:sz w:val="24"/>
          <w:szCs w:val="24"/>
          <w:lang w:val="en-CA"/>
        </w:rPr>
        <w:t xml:space="preserve"> of the law that has been under-</w:t>
      </w:r>
      <w:r>
        <w:rPr>
          <w:rFonts w:ascii="Arial" w:hAnsi="Arial" w:cs="Arial"/>
          <w:sz w:val="24"/>
          <w:szCs w:val="24"/>
          <w:lang w:val="en-CA"/>
        </w:rPr>
        <w:t xml:space="preserve">litigated for far too long given the catastrophic harm that sexual assault has on its victims. This has started to change, as this area of tort law has received renewed attention in light of the #Metoo movement, and </w:t>
      </w:r>
      <w:r w:rsidR="00442ACB">
        <w:rPr>
          <w:rFonts w:ascii="Arial" w:hAnsi="Arial" w:cs="Arial"/>
          <w:sz w:val="24"/>
          <w:szCs w:val="24"/>
          <w:lang w:val="en-CA"/>
        </w:rPr>
        <w:t xml:space="preserve">with </w:t>
      </w:r>
      <w:r>
        <w:rPr>
          <w:rFonts w:ascii="Arial" w:hAnsi="Arial" w:cs="Arial"/>
          <w:sz w:val="24"/>
          <w:szCs w:val="24"/>
          <w:lang w:val="en-CA"/>
        </w:rPr>
        <w:t xml:space="preserve">the ongoing discoveries of the reprehensible conduct of clergy members of the </w:t>
      </w:r>
      <w:r w:rsidR="00442ACB">
        <w:rPr>
          <w:rFonts w:ascii="Arial" w:hAnsi="Arial" w:cs="Arial"/>
          <w:sz w:val="24"/>
          <w:szCs w:val="24"/>
          <w:lang w:val="en-CA"/>
        </w:rPr>
        <w:t xml:space="preserve">Roman </w:t>
      </w:r>
      <w:r>
        <w:rPr>
          <w:rFonts w:ascii="Arial" w:hAnsi="Arial" w:cs="Arial"/>
          <w:sz w:val="24"/>
          <w:szCs w:val="24"/>
          <w:lang w:val="en-CA"/>
        </w:rPr>
        <w:t>Catholic Church.</w:t>
      </w:r>
    </w:p>
    <w:p w14:paraId="7CC917EC" w14:textId="77777777" w:rsidR="00E77A30" w:rsidRPr="00531D09" w:rsidRDefault="00E77A30" w:rsidP="00E77A30">
      <w:pPr>
        <w:spacing w:after="200" w:line="276" w:lineRule="auto"/>
        <w:ind w:left="180"/>
        <w:jc w:val="both"/>
        <w:rPr>
          <w:rFonts w:ascii="Arial" w:hAnsi="Arial" w:cs="Arial"/>
          <w:b/>
          <w:sz w:val="24"/>
          <w:szCs w:val="24"/>
          <w:lang w:val="en-CA"/>
        </w:rPr>
      </w:pPr>
      <w:r>
        <w:rPr>
          <w:rFonts w:ascii="Arial" w:hAnsi="Arial" w:cs="Arial"/>
          <w:b/>
          <w:sz w:val="24"/>
          <w:szCs w:val="24"/>
          <w:lang w:val="en-CA"/>
        </w:rPr>
        <w:t>Battery of a sexual nature– A variation of an existing tort</w:t>
      </w:r>
    </w:p>
    <w:p w14:paraId="49A7A4C8" w14:textId="77777777" w:rsidR="00E77A30" w:rsidRPr="002F1F82" w:rsidRDefault="00E77A30" w:rsidP="00EF10C2">
      <w:pPr>
        <w:pStyle w:val="ListParagraph"/>
        <w:numPr>
          <w:ilvl w:val="0"/>
          <w:numId w:val="28"/>
        </w:numPr>
        <w:spacing w:after="200" w:line="276" w:lineRule="auto"/>
        <w:jc w:val="both"/>
        <w:rPr>
          <w:rFonts w:ascii="Arial" w:hAnsi="Arial" w:cs="Arial"/>
          <w:sz w:val="24"/>
          <w:szCs w:val="24"/>
          <w:u w:val="single"/>
          <w:lang w:val="en-CA"/>
        </w:rPr>
      </w:pPr>
      <w:r>
        <w:rPr>
          <w:rFonts w:ascii="Arial" w:hAnsi="Arial" w:cs="Arial"/>
          <w:sz w:val="24"/>
          <w:szCs w:val="24"/>
          <w:lang w:val="en-CA"/>
        </w:rPr>
        <w:t xml:space="preserve">McLachlin J., as she then was, in </w:t>
      </w:r>
      <w:r w:rsidRPr="002F1F82">
        <w:rPr>
          <w:rFonts w:ascii="Arial" w:hAnsi="Arial" w:cs="Arial"/>
          <w:i/>
          <w:sz w:val="24"/>
          <w:szCs w:val="24"/>
          <w:lang w:val="en-CA"/>
        </w:rPr>
        <w:t>Non-Marine Underwriters, Lloyd's London v Scalera</w:t>
      </w:r>
      <w:r w:rsidRPr="002F1F82">
        <w:rPr>
          <w:rFonts w:ascii="Arial" w:hAnsi="Arial" w:cs="Arial"/>
          <w:sz w:val="24"/>
          <w:szCs w:val="24"/>
          <w:lang w:val="en-CA"/>
        </w:rPr>
        <w:t xml:space="preserve">, </w:t>
      </w:r>
      <w:hyperlink r:id="rId97" w:history="1">
        <w:r w:rsidRPr="002F1F82">
          <w:rPr>
            <w:rStyle w:val="Hyperlink"/>
            <w:rFonts w:ascii="Arial" w:hAnsi="Arial" w:cs="Arial"/>
            <w:sz w:val="24"/>
            <w:szCs w:val="24"/>
            <w:u w:val="none"/>
            <w:lang w:val="en-CA"/>
          </w:rPr>
          <w:t>2000 SCC 24</w:t>
        </w:r>
      </w:hyperlink>
      <w:r>
        <w:rPr>
          <w:rFonts w:ascii="Arial" w:hAnsi="Arial" w:cs="Arial"/>
          <w:sz w:val="24"/>
          <w:szCs w:val="24"/>
          <w:lang w:val="en-CA"/>
        </w:rPr>
        <w:t>, at para. 2 stated that the law of battery is in place to protect the inviolability of each individual’s person, and that it is for those who violate the physical integrity of others to justify their actions.</w:t>
      </w:r>
      <w:r w:rsidRPr="002F1F82">
        <w:rPr>
          <w:rFonts w:ascii="Arial" w:hAnsi="Arial" w:cs="Arial"/>
          <w:sz w:val="24"/>
          <w:szCs w:val="24"/>
          <w:lang w:val="en-CA"/>
        </w:rPr>
        <w:t xml:space="preserve"> </w:t>
      </w:r>
      <w:r>
        <w:rPr>
          <w:rFonts w:ascii="Arial" w:hAnsi="Arial" w:cs="Arial"/>
          <w:sz w:val="24"/>
          <w:szCs w:val="24"/>
          <w:lang w:val="en-CA"/>
        </w:rPr>
        <w:t>McLachlin J. applied this logic to the context of battery that is of a sexual nature:</w:t>
      </w:r>
    </w:p>
    <w:p w14:paraId="3F6963CC" w14:textId="77777777" w:rsidR="00E77A30" w:rsidRPr="002F1F82" w:rsidRDefault="00E77A30" w:rsidP="00E77A30">
      <w:pPr>
        <w:pStyle w:val="ListParagraph"/>
        <w:rPr>
          <w:rFonts w:ascii="Arial" w:hAnsi="Arial" w:cs="Arial"/>
          <w:sz w:val="24"/>
          <w:szCs w:val="24"/>
          <w:u w:val="single"/>
          <w:lang w:val="en-CA"/>
        </w:rPr>
      </w:pPr>
    </w:p>
    <w:p w14:paraId="49266C77" w14:textId="77777777" w:rsidR="00E77A30" w:rsidRPr="00B774FC" w:rsidRDefault="00E77A30" w:rsidP="00E77A30">
      <w:pPr>
        <w:spacing w:after="200" w:line="276" w:lineRule="auto"/>
        <w:ind w:left="720" w:right="720"/>
        <w:jc w:val="both"/>
        <w:rPr>
          <w:rFonts w:ascii="Arial" w:hAnsi="Arial" w:cs="Arial"/>
          <w:i/>
          <w:szCs w:val="24"/>
          <w:lang w:val="en-CA"/>
        </w:rPr>
      </w:pPr>
      <w:r>
        <w:rPr>
          <w:rFonts w:ascii="Arial" w:hAnsi="Arial" w:cs="Arial"/>
          <w:i/>
          <w:szCs w:val="24"/>
          <w:lang w:val="en-CA"/>
        </w:rPr>
        <w:t>…</w:t>
      </w:r>
      <w:r w:rsidRPr="002F1F82">
        <w:rPr>
          <w:rFonts w:ascii="Arial" w:hAnsi="Arial" w:cs="Arial"/>
          <w:i/>
          <w:szCs w:val="24"/>
          <w:lang w:val="en-CA"/>
        </w:rPr>
        <w:t>Accordingly, in my respectful view, the plaintiff who alleges sexual battery makes her case by tendering evidence of force applied directly to her. "Force," in the context of an allegation of sexual battery, simply refers to physical contact of a sexual nature, and is neutral in the sense of not necessarily connoting a lack of consent. If the defendant does not dispute that the contact took place, he bears the burden of proving that the plaintiff consented or that a reasonable person in his position would have thought that she consented</w:t>
      </w:r>
      <w:r>
        <w:rPr>
          <w:rFonts w:ascii="Arial" w:hAnsi="Arial" w:cs="Arial"/>
          <w:i/>
          <w:szCs w:val="24"/>
          <w:lang w:val="en-CA"/>
        </w:rPr>
        <w:t>..</w:t>
      </w:r>
      <w:r w:rsidRPr="002F1F82">
        <w:rPr>
          <w:rFonts w:ascii="Arial" w:hAnsi="Arial" w:cs="Arial"/>
          <w:i/>
          <w:szCs w:val="24"/>
          <w:lang w:val="en-CA"/>
        </w:rPr>
        <w:t>.</w:t>
      </w:r>
    </w:p>
    <w:p w14:paraId="621BE586" w14:textId="77777777" w:rsidR="00E77A30" w:rsidRPr="002D78AA" w:rsidRDefault="00E77A30" w:rsidP="00EF10C2">
      <w:pPr>
        <w:pStyle w:val="ListParagraph"/>
        <w:numPr>
          <w:ilvl w:val="0"/>
          <w:numId w:val="28"/>
        </w:numPr>
        <w:spacing w:after="200" w:line="276" w:lineRule="auto"/>
        <w:jc w:val="both"/>
        <w:rPr>
          <w:rFonts w:ascii="Arial" w:hAnsi="Arial" w:cs="Arial"/>
          <w:sz w:val="24"/>
          <w:szCs w:val="24"/>
          <w:u w:val="single"/>
          <w:lang w:val="en-CA"/>
        </w:rPr>
      </w:pPr>
      <w:r>
        <w:rPr>
          <w:rFonts w:ascii="Arial" w:hAnsi="Arial" w:cs="Arial"/>
          <w:sz w:val="24"/>
          <w:szCs w:val="24"/>
          <w:lang w:val="en-CA"/>
        </w:rPr>
        <w:t xml:space="preserve">Battery of a sexual nature materially differs from conventional battery, as the protections for guarding against trivial contacts that define conventional battery disappear. As McLachlin J. stated in </w:t>
      </w:r>
      <w:r w:rsidRPr="002F1F82">
        <w:rPr>
          <w:rFonts w:ascii="Arial" w:hAnsi="Arial" w:cs="Arial"/>
          <w:i/>
          <w:sz w:val="24"/>
          <w:szCs w:val="24"/>
          <w:lang w:val="en-CA"/>
        </w:rPr>
        <w:t>Non-Marine Underwriters</w:t>
      </w:r>
      <w:r>
        <w:rPr>
          <w:rFonts w:ascii="Arial" w:hAnsi="Arial" w:cs="Arial"/>
          <w:i/>
          <w:sz w:val="24"/>
          <w:szCs w:val="24"/>
          <w:lang w:val="en-CA"/>
        </w:rPr>
        <w:t xml:space="preserve"> </w:t>
      </w:r>
      <w:r>
        <w:rPr>
          <w:rFonts w:ascii="Arial" w:hAnsi="Arial" w:cs="Arial"/>
          <w:sz w:val="24"/>
          <w:szCs w:val="24"/>
          <w:lang w:val="en-CA"/>
        </w:rPr>
        <w:t>at para. 21:</w:t>
      </w:r>
    </w:p>
    <w:p w14:paraId="63412CC7" w14:textId="77777777" w:rsidR="00E77A30" w:rsidRPr="002D78AA" w:rsidRDefault="00E77A30" w:rsidP="00E77A30">
      <w:pPr>
        <w:spacing w:after="200" w:line="276" w:lineRule="auto"/>
        <w:ind w:left="720" w:right="720"/>
        <w:jc w:val="both"/>
        <w:rPr>
          <w:rFonts w:ascii="Arial" w:hAnsi="Arial" w:cs="Arial"/>
          <w:i/>
          <w:szCs w:val="24"/>
          <w:lang w:val="en-CA"/>
        </w:rPr>
      </w:pPr>
      <w:r w:rsidRPr="002D78AA">
        <w:rPr>
          <w:rFonts w:ascii="Arial" w:hAnsi="Arial" w:cs="Arial"/>
          <w:i/>
          <w:szCs w:val="24"/>
          <w:lang w:val="en-CA"/>
        </w:rPr>
        <w:t>Sexual contact does not fall into this category. It is not the casual, accidental or inevitable consequence of general human activity and interaction. It involves singling out another person's body in a deliberate, targeted act.</w:t>
      </w:r>
    </w:p>
    <w:p w14:paraId="565FCC19" w14:textId="77777777" w:rsidR="00E77A30" w:rsidRDefault="00E77A30" w:rsidP="00EF10C2">
      <w:pPr>
        <w:pStyle w:val="ListParagraph"/>
        <w:numPr>
          <w:ilvl w:val="0"/>
          <w:numId w:val="28"/>
        </w:numPr>
        <w:spacing w:after="200" w:line="276" w:lineRule="auto"/>
        <w:jc w:val="both"/>
        <w:rPr>
          <w:rFonts w:ascii="Arial" w:hAnsi="Arial" w:cs="Arial"/>
          <w:sz w:val="24"/>
          <w:szCs w:val="24"/>
          <w:lang w:val="en-CA"/>
        </w:rPr>
      </w:pPr>
      <w:r>
        <w:rPr>
          <w:rFonts w:ascii="Arial" w:hAnsi="Arial" w:cs="Arial"/>
          <w:sz w:val="24"/>
          <w:szCs w:val="24"/>
          <w:lang w:val="en-CA"/>
        </w:rPr>
        <w:t xml:space="preserve">With this </w:t>
      </w:r>
      <w:r w:rsidRPr="00531D09">
        <w:rPr>
          <w:rFonts w:ascii="Arial" w:hAnsi="Arial" w:cs="Arial"/>
          <w:sz w:val="24"/>
          <w:szCs w:val="24"/>
          <w:lang w:val="en-CA"/>
        </w:rPr>
        <w:t>in m</w:t>
      </w:r>
      <w:r>
        <w:rPr>
          <w:rFonts w:ascii="Arial" w:hAnsi="Arial" w:cs="Arial"/>
          <w:sz w:val="24"/>
          <w:szCs w:val="24"/>
          <w:lang w:val="en-CA"/>
        </w:rPr>
        <w:t xml:space="preserve">ind, McLachlin J. concluded at para. 43 that battery of a sexual nature needs only to prove one thing in order to establish liability, that there was direct contact of a sexual nature by the defendant. Once this has been established, this then shifts the burden to the defendant to prove consent. Should this burden not be met by the defendant, then liability is established. </w:t>
      </w:r>
    </w:p>
    <w:p w14:paraId="3425B3F3" w14:textId="77777777" w:rsidR="00E77A30" w:rsidRPr="001D3ADC" w:rsidRDefault="00E77A30" w:rsidP="00E77A30">
      <w:pPr>
        <w:spacing w:after="200" w:line="276" w:lineRule="auto"/>
        <w:ind w:left="180"/>
        <w:jc w:val="both"/>
        <w:rPr>
          <w:rFonts w:ascii="Arial" w:hAnsi="Arial" w:cs="Arial"/>
          <w:b/>
          <w:sz w:val="24"/>
          <w:szCs w:val="24"/>
          <w:lang w:val="en-CA"/>
        </w:rPr>
      </w:pPr>
      <w:r>
        <w:rPr>
          <w:rFonts w:ascii="Arial" w:hAnsi="Arial" w:cs="Arial"/>
          <w:b/>
          <w:sz w:val="24"/>
          <w:szCs w:val="24"/>
          <w:lang w:val="en-CA"/>
        </w:rPr>
        <w:t>Sexual battery where power dependency is present</w:t>
      </w:r>
    </w:p>
    <w:p w14:paraId="25753517" w14:textId="77777777" w:rsidR="00E77A30" w:rsidRPr="00E34B99" w:rsidRDefault="00E77A30" w:rsidP="00EF10C2">
      <w:pPr>
        <w:pStyle w:val="ListParagraph"/>
        <w:numPr>
          <w:ilvl w:val="0"/>
          <w:numId w:val="28"/>
        </w:numPr>
        <w:spacing w:after="200" w:line="276" w:lineRule="auto"/>
        <w:jc w:val="both"/>
        <w:rPr>
          <w:rFonts w:ascii="Arial" w:hAnsi="Arial" w:cs="Arial"/>
          <w:sz w:val="24"/>
          <w:szCs w:val="24"/>
          <w:u w:val="single"/>
          <w:lang w:val="en-CA"/>
        </w:rPr>
      </w:pPr>
      <w:r>
        <w:rPr>
          <w:rFonts w:ascii="Arial" w:hAnsi="Arial" w:cs="Arial"/>
          <w:sz w:val="24"/>
          <w:szCs w:val="24"/>
          <w:lang w:val="en-CA"/>
        </w:rPr>
        <w:t xml:space="preserve">Sexual battery within the confines of a power dependency relationship (such as that of a lawyer/client, doctor/patient, teacher/student, or priest/parishioner) was most authoritatively outlined in the case </w:t>
      </w:r>
      <w:r w:rsidRPr="00E34B99">
        <w:rPr>
          <w:rFonts w:ascii="Arial" w:hAnsi="Arial" w:cs="Arial"/>
          <w:sz w:val="24"/>
          <w:szCs w:val="24"/>
          <w:lang w:val="en-CA"/>
        </w:rPr>
        <w:t xml:space="preserve">of </w:t>
      </w:r>
      <w:r w:rsidRPr="00E34B99">
        <w:rPr>
          <w:rFonts w:ascii="Arial" w:hAnsi="Arial" w:cs="Arial"/>
          <w:i/>
          <w:sz w:val="24"/>
          <w:szCs w:val="24"/>
          <w:lang w:val="en-CA"/>
        </w:rPr>
        <w:t xml:space="preserve">Norberg v. </w:t>
      </w:r>
      <w:proofErr w:type="spellStart"/>
      <w:r w:rsidRPr="00E34B99">
        <w:rPr>
          <w:rFonts w:ascii="Arial" w:hAnsi="Arial" w:cs="Arial"/>
          <w:i/>
          <w:sz w:val="24"/>
          <w:szCs w:val="24"/>
          <w:lang w:val="en-CA"/>
        </w:rPr>
        <w:t>Wynrib</w:t>
      </w:r>
      <w:proofErr w:type="spellEnd"/>
      <w:r w:rsidRPr="00E34B99">
        <w:rPr>
          <w:rFonts w:ascii="Arial" w:hAnsi="Arial" w:cs="Arial"/>
          <w:sz w:val="24"/>
          <w:szCs w:val="24"/>
          <w:lang w:val="en-CA"/>
        </w:rPr>
        <w:t xml:space="preserve">, </w:t>
      </w:r>
      <w:hyperlink r:id="rId98" w:history="1">
        <w:r w:rsidRPr="00E34B99">
          <w:rPr>
            <w:rStyle w:val="Hyperlink"/>
            <w:rFonts w:ascii="Arial" w:hAnsi="Arial" w:cs="Arial"/>
            <w:sz w:val="24"/>
            <w:szCs w:val="24"/>
            <w:u w:val="none"/>
            <w:lang w:val="en-CA"/>
          </w:rPr>
          <w:t>[1992] 2 S.C.R. 226</w:t>
        </w:r>
      </w:hyperlink>
      <w:r>
        <w:rPr>
          <w:rFonts w:ascii="Arial" w:hAnsi="Arial" w:cs="Arial"/>
          <w:sz w:val="24"/>
          <w:szCs w:val="24"/>
          <w:lang w:val="en-CA"/>
        </w:rPr>
        <w:t>. La Forest J. (</w:t>
      </w:r>
      <w:proofErr w:type="spellStart"/>
      <w:r>
        <w:rPr>
          <w:rFonts w:ascii="Arial" w:hAnsi="Arial" w:cs="Arial"/>
          <w:sz w:val="24"/>
          <w:szCs w:val="24"/>
          <w:lang w:val="en-CA"/>
        </w:rPr>
        <w:t>Gontier</w:t>
      </w:r>
      <w:proofErr w:type="spellEnd"/>
      <w:r>
        <w:rPr>
          <w:rFonts w:ascii="Arial" w:hAnsi="Arial" w:cs="Arial"/>
          <w:sz w:val="24"/>
          <w:szCs w:val="24"/>
          <w:lang w:val="en-CA"/>
        </w:rPr>
        <w:t xml:space="preserve"> &amp; Cory JJ. concurring) outlined the tort and provided the definition of effective consent at para. 26:</w:t>
      </w:r>
    </w:p>
    <w:p w14:paraId="1C827598" w14:textId="77777777" w:rsidR="00E77A30" w:rsidRPr="00E34B99" w:rsidRDefault="00E77A30" w:rsidP="00E77A30">
      <w:pPr>
        <w:pStyle w:val="ListParagraph"/>
        <w:rPr>
          <w:rFonts w:ascii="Arial" w:hAnsi="Arial" w:cs="Arial"/>
          <w:sz w:val="24"/>
          <w:szCs w:val="24"/>
          <w:u w:val="single"/>
          <w:lang w:val="en-CA"/>
        </w:rPr>
      </w:pPr>
    </w:p>
    <w:p w14:paraId="53E61193" w14:textId="77777777" w:rsidR="00E77A30" w:rsidRPr="00161621" w:rsidRDefault="00E77A30" w:rsidP="00E77A30">
      <w:pPr>
        <w:spacing w:after="200" w:line="276" w:lineRule="auto"/>
        <w:ind w:left="720" w:right="720"/>
        <w:jc w:val="both"/>
        <w:rPr>
          <w:rFonts w:ascii="Arial" w:hAnsi="Arial" w:cs="Arial"/>
          <w:sz w:val="24"/>
          <w:szCs w:val="24"/>
          <w:u w:val="single"/>
          <w:lang w:val="en-CA"/>
        </w:rPr>
      </w:pPr>
      <w:r>
        <w:rPr>
          <w:rFonts w:ascii="Arial" w:hAnsi="Arial" w:cs="Arial"/>
          <w:i/>
          <w:szCs w:val="24"/>
          <w:lang w:val="en-CA"/>
        </w:rPr>
        <w:t xml:space="preserve">… </w:t>
      </w:r>
      <w:r w:rsidRPr="00E34B99">
        <w:rPr>
          <w:rFonts w:ascii="Arial" w:hAnsi="Arial" w:cs="Arial"/>
          <w:i/>
          <w:szCs w:val="24"/>
          <w:lang w:val="en-CA"/>
        </w:rPr>
        <w:t>A battery is the intentional infliction of unlawful force on another person. Consent, express or implied, is a defence to battery. Failure to resist or protest is an indication of consent "if a reasonable person who is aware of the consequences and capable of protest or resistance would voice his objection"; see Fleming, The Law of Torts (7th ed., 1987), at pp. 72-73. However, the consent must be genuine; it must not be obtained by force or threat of force or be given under the influence of drugs. Consent may also be vitiated by fraud or deceit as to the nature of the defendant's conduct. The courts below considered these to be the only factors that would vitiate consent</w:t>
      </w:r>
      <w:r w:rsidRPr="00E34B99">
        <w:rPr>
          <w:rFonts w:ascii="Arial" w:hAnsi="Arial" w:cs="Arial"/>
          <w:sz w:val="24"/>
          <w:szCs w:val="24"/>
          <w:lang w:val="en-CA"/>
        </w:rPr>
        <w:t>.</w:t>
      </w:r>
    </w:p>
    <w:p w14:paraId="3C3D0793" w14:textId="77777777" w:rsidR="00E77A30" w:rsidRPr="00FD5942" w:rsidRDefault="00E77A30" w:rsidP="00EF10C2">
      <w:pPr>
        <w:pStyle w:val="ListParagraph"/>
        <w:numPr>
          <w:ilvl w:val="0"/>
          <w:numId w:val="28"/>
        </w:numPr>
        <w:spacing w:after="200" w:line="276" w:lineRule="auto"/>
        <w:jc w:val="both"/>
        <w:rPr>
          <w:rFonts w:ascii="Arial" w:hAnsi="Arial" w:cs="Arial"/>
          <w:sz w:val="24"/>
          <w:szCs w:val="24"/>
          <w:u w:val="single"/>
          <w:lang w:val="en-CA"/>
        </w:rPr>
      </w:pPr>
      <w:r>
        <w:rPr>
          <w:rFonts w:ascii="Arial" w:hAnsi="Arial" w:cs="Arial"/>
          <w:sz w:val="24"/>
          <w:szCs w:val="24"/>
          <w:lang w:val="en-CA"/>
        </w:rPr>
        <w:t xml:space="preserve">This decision dealt with a doctor who exchanged sexual favours with his pain killer addicted patient in order for her to receive further medication. Within the context of a power dependency relationship, it is the case that any consent given by the battered party will be rendered legally ineffective. This </w:t>
      </w:r>
      <w:proofErr w:type="gramStart"/>
      <w:r>
        <w:rPr>
          <w:rFonts w:ascii="Arial" w:hAnsi="Arial" w:cs="Arial"/>
          <w:sz w:val="24"/>
          <w:szCs w:val="24"/>
          <w:lang w:val="en-CA"/>
        </w:rPr>
        <w:t>is will be</w:t>
      </w:r>
      <w:proofErr w:type="gramEnd"/>
      <w:r>
        <w:rPr>
          <w:rFonts w:ascii="Arial" w:hAnsi="Arial" w:cs="Arial"/>
          <w:sz w:val="24"/>
          <w:szCs w:val="24"/>
          <w:lang w:val="en-CA"/>
        </w:rPr>
        <w:t xml:space="preserve"> the case, as explained by La Forest J. at para 34, where “</w:t>
      </w:r>
      <w:r w:rsidRPr="00272CA2">
        <w:rPr>
          <w:rFonts w:ascii="Arial" w:hAnsi="Arial" w:cs="Arial"/>
          <w:i/>
          <w:sz w:val="24"/>
          <w:szCs w:val="24"/>
          <w:lang w:val="en-CA"/>
        </w:rPr>
        <w:t>it can be shown that there was such a disparity in the relative positions of the parties that the weaker party was not in a position to choose freely</w:t>
      </w:r>
      <w:r>
        <w:rPr>
          <w:rFonts w:ascii="Arial" w:hAnsi="Arial" w:cs="Arial"/>
          <w:sz w:val="24"/>
          <w:szCs w:val="24"/>
          <w:lang w:val="en-CA"/>
        </w:rPr>
        <w:t>.”</w:t>
      </w:r>
    </w:p>
    <w:p w14:paraId="0C585DB5" w14:textId="77777777" w:rsidR="00E77A30" w:rsidRPr="001D3ADC" w:rsidRDefault="00E77A30" w:rsidP="00E77A30">
      <w:pPr>
        <w:pStyle w:val="ListParagraph"/>
        <w:spacing w:after="200" w:line="276" w:lineRule="auto"/>
        <w:ind w:left="540"/>
        <w:jc w:val="both"/>
        <w:rPr>
          <w:rFonts w:ascii="Arial" w:hAnsi="Arial" w:cs="Arial"/>
          <w:sz w:val="24"/>
          <w:szCs w:val="24"/>
          <w:u w:val="single"/>
          <w:lang w:val="en-CA"/>
        </w:rPr>
      </w:pPr>
    </w:p>
    <w:p w14:paraId="350FB149" w14:textId="77777777" w:rsidR="00E77A30" w:rsidRPr="00161621" w:rsidRDefault="00E77A30" w:rsidP="00EF10C2">
      <w:pPr>
        <w:pStyle w:val="ListParagraph"/>
        <w:numPr>
          <w:ilvl w:val="0"/>
          <w:numId w:val="28"/>
        </w:numPr>
        <w:spacing w:after="200" w:line="276" w:lineRule="auto"/>
        <w:jc w:val="both"/>
        <w:rPr>
          <w:rFonts w:ascii="Arial" w:hAnsi="Arial" w:cs="Arial"/>
          <w:sz w:val="24"/>
          <w:szCs w:val="24"/>
          <w:u w:val="single"/>
          <w:lang w:val="en-CA"/>
        </w:rPr>
      </w:pPr>
      <w:r>
        <w:rPr>
          <w:rFonts w:ascii="Arial" w:hAnsi="Arial" w:cs="Arial"/>
          <w:sz w:val="24"/>
          <w:szCs w:val="24"/>
          <w:lang w:val="en-CA"/>
        </w:rPr>
        <w:t xml:space="preserve">At para. 41, La Forest J. expanded upon this aspect of the tort by borrowing the principle of </w:t>
      </w:r>
      <w:r w:rsidRPr="00161621">
        <w:rPr>
          <w:rFonts w:ascii="Arial" w:hAnsi="Arial" w:cs="Arial"/>
          <w:sz w:val="24"/>
          <w:szCs w:val="24"/>
          <w:lang w:val="en-CA"/>
        </w:rPr>
        <w:t xml:space="preserve">unconscionability </w:t>
      </w:r>
      <w:r>
        <w:rPr>
          <w:rFonts w:ascii="Arial" w:hAnsi="Arial" w:cs="Arial"/>
          <w:sz w:val="24"/>
          <w:szCs w:val="24"/>
          <w:lang w:val="en-CA"/>
        </w:rPr>
        <w:t>from the law of contracts, and applied it to battery of a sexual nature.</w:t>
      </w:r>
    </w:p>
    <w:p w14:paraId="361110C4" w14:textId="77777777" w:rsidR="00E77A30" w:rsidRDefault="00E77A30" w:rsidP="00E77A30">
      <w:pPr>
        <w:spacing w:after="200" w:line="276" w:lineRule="auto"/>
        <w:ind w:left="720" w:right="720"/>
        <w:jc w:val="both"/>
        <w:rPr>
          <w:rFonts w:ascii="Arial" w:hAnsi="Arial" w:cs="Arial"/>
          <w:b/>
          <w:sz w:val="24"/>
          <w:szCs w:val="24"/>
          <w:u w:val="single"/>
          <w:lang w:val="en-CA"/>
        </w:rPr>
      </w:pPr>
      <w:r w:rsidRPr="00522A57">
        <w:rPr>
          <w:rFonts w:ascii="Arial" w:hAnsi="Arial" w:cs="Arial"/>
          <w:i/>
          <w:szCs w:val="24"/>
          <w:lang w:val="en-CA"/>
        </w:rPr>
        <w:t>41      It must be noted that in the law of contracts proof of an unconscionable transaction involves a two-step process: (1) proof of inequality in the position of the parties, and (2) proof of an improvident bargain. Similarly, a two-step process is involved in determining whether or not there has been legally effective consent to a sexual assault. The first step is undoubtedly proof of an inequality between the parties which, as already noted, will ordinarily occur within the context of a special "power dependency" relationship. The second step, I suggest, is proof of exploitation. A consideration of the type of relationship at issue may provide a strong indication of exploitation. Community standards of conduct may also be of some assistanc</w:t>
      </w:r>
      <w:r>
        <w:rPr>
          <w:rFonts w:ascii="Arial" w:hAnsi="Arial" w:cs="Arial"/>
          <w:i/>
          <w:szCs w:val="24"/>
          <w:lang w:val="en-CA"/>
        </w:rPr>
        <w:t>e…</w:t>
      </w:r>
    </w:p>
    <w:p w14:paraId="47BD0179" w14:textId="778B3203" w:rsidR="00E77A30" w:rsidRPr="00252E72" w:rsidRDefault="00E77A30" w:rsidP="00F2566D">
      <w:pPr>
        <w:pStyle w:val="ListParagraph"/>
        <w:spacing w:after="200" w:line="276" w:lineRule="auto"/>
        <w:ind w:left="0" w:firstLine="360"/>
        <w:jc w:val="both"/>
        <w:rPr>
          <w:rStyle w:val="Hyperlink"/>
          <w:rFonts w:ascii="Arial" w:hAnsi="Arial" w:cs="Arial"/>
          <w:b/>
          <w:color w:val="auto"/>
          <w:sz w:val="24"/>
          <w:szCs w:val="24"/>
          <w:u w:val="none"/>
          <w:lang w:val="en-CA"/>
        </w:rPr>
      </w:pPr>
      <w:r w:rsidRPr="00252E72">
        <w:rPr>
          <w:rFonts w:ascii="Arial" w:hAnsi="Arial" w:cs="Arial"/>
          <w:b/>
          <w:i/>
          <w:sz w:val="24"/>
          <w:szCs w:val="24"/>
          <w:lang w:val="en-CA"/>
        </w:rPr>
        <w:t>Anderson v. Molon</w:t>
      </w:r>
      <w:r w:rsidRPr="00252E72">
        <w:rPr>
          <w:rFonts w:ascii="Arial" w:hAnsi="Arial" w:cs="Arial"/>
          <w:b/>
          <w:sz w:val="24"/>
          <w:szCs w:val="24"/>
          <w:lang w:val="en-CA"/>
        </w:rPr>
        <w:t xml:space="preserve">, </w:t>
      </w:r>
      <w:hyperlink r:id="rId99" w:history="1">
        <w:r w:rsidRPr="00252E72">
          <w:rPr>
            <w:rStyle w:val="Hyperlink"/>
            <w:rFonts w:ascii="Arial" w:hAnsi="Arial" w:cs="Arial"/>
            <w:b/>
            <w:sz w:val="24"/>
            <w:szCs w:val="24"/>
            <w:u w:val="none"/>
            <w:lang w:val="en-CA"/>
          </w:rPr>
          <w:t>2020 BCSC 1247</w:t>
        </w:r>
      </w:hyperlink>
    </w:p>
    <w:p w14:paraId="38EE69BB" w14:textId="77777777" w:rsidR="00E77A30" w:rsidRPr="0019776A" w:rsidRDefault="00E77A30" w:rsidP="00E77A30">
      <w:pPr>
        <w:pStyle w:val="Default"/>
        <w:numPr>
          <w:ilvl w:val="0"/>
          <w:numId w:val="2"/>
        </w:numPr>
        <w:spacing w:after="200"/>
        <w:jc w:val="both"/>
        <w:rPr>
          <w:rStyle w:val="Hyperlink"/>
          <w:rFonts w:ascii="Arial" w:hAnsi="Arial" w:cs="Arial"/>
          <w:color w:val="auto"/>
          <w:u w:val="none"/>
          <w:lang w:val="en-CA"/>
        </w:rPr>
      </w:pPr>
      <w:r w:rsidRPr="0019776A">
        <w:rPr>
          <w:rStyle w:val="Hyperlink"/>
          <w:rFonts w:ascii="Arial" w:hAnsi="Arial" w:cs="Arial"/>
          <w:color w:val="auto"/>
          <w:u w:val="none"/>
          <w:lang w:val="en-CA"/>
        </w:rPr>
        <w:t>Liability in Battery and Consent:</w:t>
      </w:r>
    </w:p>
    <w:p w14:paraId="2D5AFE8E" w14:textId="77777777" w:rsidR="00E77A30" w:rsidRPr="0019776A" w:rsidRDefault="00E77A30" w:rsidP="00E77A30">
      <w:pPr>
        <w:pStyle w:val="Default"/>
        <w:spacing w:after="200"/>
        <w:ind w:left="720" w:right="720"/>
        <w:jc w:val="both"/>
        <w:rPr>
          <w:rStyle w:val="Hyperlink"/>
          <w:rFonts w:ascii="Arial" w:hAnsi="Arial" w:cs="Arial"/>
          <w:i/>
          <w:color w:val="auto"/>
          <w:sz w:val="22"/>
          <w:u w:val="none"/>
          <w:lang w:val="en-CA"/>
        </w:rPr>
      </w:pPr>
      <w:r w:rsidRPr="0019776A">
        <w:rPr>
          <w:rFonts w:ascii="Arial" w:hAnsi="Arial" w:cs="Arial"/>
          <w:i/>
          <w:sz w:val="22"/>
          <w:lang w:val="en-CA"/>
        </w:rPr>
        <w:t xml:space="preserve">[181] In any case, the plaintiff argues that she could not have consented to the sexual activity, because of the power imbalance between her and Fr. Molon. Consent must be meaningful, voluntary, and genuine to be effective: P.P. v D.D., 2016 ONSC 258 at para. 83. In this context, consent obtained through the exploitation of a position of power is often referred to as vitiated consent. </w:t>
      </w:r>
      <w:r w:rsidRPr="0019776A">
        <w:rPr>
          <w:rFonts w:ascii="Arial" w:hAnsi="Arial" w:cs="Arial"/>
          <w:b/>
          <w:i/>
          <w:sz w:val="22"/>
          <w:lang w:val="en-CA"/>
        </w:rPr>
        <w:t xml:space="preserve">In my view, this is a phrase that ought to leave the lexicon in this area. Consent obtained through the exploitation of a position of power is no consent at all. </w:t>
      </w:r>
      <w:r w:rsidRPr="0019776A">
        <w:rPr>
          <w:rFonts w:ascii="Arial" w:hAnsi="Arial" w:cs="Arial"/>
          <w:i/>
          <w:sz w:val="22"/>
          <w:lang w:val="en-CA"/>
        </w:rPr>
        <w:t>I am satisfied that Fr. Molon is liable in battery for the sexual abuse on the plaintiff that took place between September 1976 and May 1977.</w:t>
      </w:r>
    </w:p>
    <w:p w14:paraId="16E45C57" w14:textId="77777777" w:rsidR="00E77A30" w:rsidRPr="0019776A" w:rsidRDefault="00E77A30" w:rsidP="00E77A30">
      <w:pPr>
        <w:pStyle w:val="Default"/>
        <w:numPr>
          <w:ilvl w:val="0"/>
          <w:numId w:val="2"/>
        </w:numPr>
        <w:spacing w:after="200"/>
        <w:jc w:val="both"/>
        <w:rPr>
          <w:rStyle w:val="Hyperlink"/>
          <w:rFonts w:ascii="Arial" w:hAnsi="Arial" w:cs="Arial"/>
          <w:color w:val="auto"/>
          <w:u w:val="none"/>
          <w:lang w:val="en-CA"/>
        </w:rPr>
      </w:pPr>
      <w:r w:rsidRPr="0019776A">
        <w:rPr>
          <w:rStyle w:val="Hyperlink"/>
          <w:rFonts w:ascii="Arial" w:hAnsi="Arial" w:cs="Arial"/>
          <w:color w:val="auto"/>
          <w:u w:val="none"/>
          <w:lang w:val="en-CA"/>
        </w:rPr>
        <w:t>Vicarious liability and institutional (direct) negligence:</w:t>
      </w:r>
    </w:p>
    <w:p w14:paraId="51B72569" w14:textId="77777777" w:rsidR="00E77A30" w:rsidRPr="0019776A" w:rsidRDefault="00E77A30" w:rsidP="00E77A30">
      <w:pPr>
        <w:pStyle w:val="Default"/>
        <w:spacing w:after="200"/>
        <w:ind w:left="720" w:right="720"/>
        <w:jc w:val="both"/>
        <w:rPr>
          <w:rFonts w:ascii="Arial" w:hAnsi="Arial" w:cs="Arial"/>
          <w:i/>
          <w:sz w:val="22"/>
          <w:lang w:val="en-CA"/>
        </w:rPr>
      </w:pPr>
      <w:r w:rsidRPr="0019776A">
        <w:rPr>
          <w:rFonts w:ascii="Arial" w:hAnsi="Arial" w:cs="Arial"/>
          <w:i/>
          <w:sz w:val="22"/>
          <w:lang w:val="en-CA"/>
        </w:rPr>
        <w:t xml:space="preserve">[182] The Diocese has conceded vicarious liability: it is therefore jointly and severally liable for this same abuse. </w:t>
      </w:r>
    </w:p>
    <w:p w14:paraId="7A2302A2" w14:textId="77777777" w:rsidR="00E77A30" w:rsidRPr="0019776A" w:rsidRDefault="00E77A30" w:rsidP="00E77A30">
      <w:pPr>
        <w:pStyle w:val="Default"/>
        <w:spacing w:after="200"/>
        <w:ind w:left="720" w:right="720"/>
        <w:jc w:val="both"/>
        <w:rPr>
          <w:rFonts w:ascii="Arial" w:hAnsi="Arial" w:cs="Arial"/>
          <w:i/>
          <w:sz w:val="22"/>
          <w:lang w:val="en-CA"/>
        </w:rPr>
      </w:pPr>
      <w:r w:rsidRPr="0019776A">
        <w:rPr>
          <w:rFonts w:ascii="Arial" w:hAnsi="Arial" w:cs="Arial"/>
          <w:i/>
          <w:sz w:val="22"/>
          <w:lang w:val="en-CA"/>
        </w:rPr>
        <w:t>[183] In addition, the plaintiff claims the Diocese was directly liable for failing to take reasonable steps to protect the plaintiff from a risk of harm it knew or ought to have known existed. The significance of this allegation relates primarily to the plaintiff’s claim for punitive damages against the Diocese.</w:t>
      </w:r>
    </w:p>
    <w:p w14:paraId="2C290AB9" w14:textId="77777777" w:rsidR="00E77A30" w:rsidRPr="0019776A" w:rsidRDefault="00E77A30" w:rsidP="00E77A30">
      <w:pPr>
        <w:pStyle w:val="Default"/>
        <w:spacing w:after="200"/>
        <w:ind w:left="720" w:right="720"/>
        <w:jc w:val="both"/>
        <w:rPr>
          <w:rFonts w:ascii="Arial" w:hAnsi="Arial" w:cs="Arial"/>
          <w:i/>
          <w:sz w:val="22"/>
          <w:lang w:val="en-CA"/>
        </w:rPr>
      </w:pPr>
      <w:r w:rsidRPr="0019776A">
        <w:rPr>
          <w:rFonts w:ascii="Arial" w:hAnsi="Arial" w:cs="Arial"/>
          <w:i/>
          <w:sz w:val="22"/>
          <w:lang w:val="en-CA"/>
        </w:rPr>
        <w:t xml:space="preserve">[184] In particular, the plaintiff alleges Bishop Exner failed to: a) take adequate steps to investigate Fr. Molon’s sexual improprieties; b) document any investigation of the allegations against Fr. Molon in the spring of 1976, contrary to the church’s own Canon Law policy; c) terminate Fr. Molon in the spring of 1976; d) restrict or limit Fr. Molon’s duties; e) warn parishioners of the risk of harm by Fr. Molon; and f) prioritize the protection of the parishioners above the avoidance of a scandal. </w:t>
      </w:r>
    </w:p>
    <w:p w14:paraId="3D8D1713" w14:textId="77777777" w:rsidR="00E77A30" w:rsidRPr="0019776A" w:rsidRDefault="00E77A30" w:rsidP="00E77A30">
      <w:pPr>
        <w:pStyle w:val="Default"/>
        <w:spacing w:after="200"/>
        <w:ind w:left="720" w:right="720"/>
        <w:jc w:val="both"/>
        <w:rPr>
          <w:rFonts w:ascii="Arial" w:hAnsi="Arial" w:cs="Arial"/>
          <w:i/>
          <w:sz w:val="22"/>
          <w:lang w:val="en-CA"/>
        </w:rPr>
      </w:pPr>
      <w:r w:rsidRPr="0019776A">
        <w:rPr>
          <w:rFonts w:ascii="Arial" w:hAnsi="Arial" w:cs="Arial"/>
          <w:i/>
          <w:sz w:val="22"/>
          <w:lang w:val="en-CA"/>
        </w:rPr>
        <w:t xml:space="preserve">[185] For the purpose of this analysis, Bishop Exner and the Diocese are to be considered one and the same: John Doe v. Bennett, 2004 SCC 17 at para. 14. If a bishop is negligent in the discharge of his duties, the diocese is directly liable, because the office of the bishop, the enterprise of the diocese, and the episcopal corporation are legally synonymous: Bennett at para. 7. </w:t>
      </w:r>
    </w:p>
    <w:p w14:paraId="68BB12C2" w14:textId="77777777" w:rsidR="00E77A30" w:rsidRPr="0019776A" w:rsidRDefault="00E77A30" w:rsidP="00E77A30">
      <w:pPr>
        <w:pStyle w:val="Default"/>
        <w:spacing w:after="200"/>
        <w:ind w:left="720" w:right="720"/>
        <w:jc w:val="both"/>
        <w:rPr>
          <w:rFonts w:ascii="Arial" w:hAnsi="Arial" w:cs="Arial"/>
          <w:i/>
          <w:sz w:val="22"/>
          <w:lang w:val="en-CA"/>
        </w:rPr>
      </w:pPr>
      <w:r w:rsidRPr="0019776A">
        <w:rPr>
          <w:rFonts w:ascii="Arial" w:hAnsi="Arial" w:cs="Arial"/>
          <w:i/>
          <w:sz w:val="22"/>
          <w:lang w:val="en-CA"/>
        </w:rPr>
        <w:t xml:space="preserve">[186] The plaintiff’s claim against the Diocese, like any claim in negligence, requires proof of the following elements: </w:t>
      </w:r>
    </w:p>
    <w:p w14:paraId="6BCB9B07" w14:textId="77777777" w:rsidR="00E77A30" w:rsidRPr="0019776A" w:rsidRDefault="00E77A30" w:rsidP="00E77A30">
      <w:pPr>
        <w:pStyle w:val="Default"/>
        <w:tabs>
          <w:tab w:val="left" w:pos="1440"/>
        </w:tabs>
        <w:spacing w:after="120"/>
        <w:ind w:left="1440" w:right="720"/>
        <w:jc w:val="both"/>
        <w:rPr>
          <w:rFonts w:ascii="Arial" w:hAnsi="Arial" w:cs="Arial"/>
          <w:i/>
          <w:sz w:val="22"/>
          <w:lang w:val="en-CA"/>
        </w:rPr>
      </w:pPr>
      <w:r w:rsidRPr="0019776A">
        <w:rPr>
          <w:rFonts w:ascii="Arial" w:hAnsi="Arial" w:cs="Arial"/>
          <w:i/>
          <w:sz w:val="22"/>
          <w:lang w:val="en-CA"/>
        </w:rPr>
        <w:t xml:space="preserve">a) the existence of a duty of care; </w:t>
      </w:r>
    </w:p>
    <w:p w14:paraId="7D0753B9" w14:textId="77777777" w:rsidR="00E77A30" w:rsidRPr="0019776A" w:rsidRDefault="00E77A30" w:rsidP="00E77A30">
      <w:pPr>
        <w:pStyle w:val="Default"/>
        <w:tabs>
          <w:tab w:val="left" w:pos="1440"/>
        </w:tabs>
        <w:spacing w:after="120"/>
        <w:ind w:left="1440" w:right="720"/>
        <w:jc w:val="both"/>
        <w:rPr>
          <w:rFonts w:ascii="Arial" w:hAnsi="Arial" w:cs="Arial"/>
          <w:i/>
          <w:sz w:val="22"/>
          <w:lang w:val="en-CA"/>
        </w:rPr>
      </w:pPr>
      <w:r w:rsidRPr="0019776A">
        <w:rPr>
          <w:rFonts w:ascii="Arial" w:hAnsi="Arial" w:cs="Arial"/>
          <w:i/>
          <w:sz w:val="22"/>
          <w:lang w:val="en-CA"/>
        </w:rPr>
        <w:t>b) a breach of the standard of care; and</w:t>
      </w:r>
    </w:p>
    <w:p w14:paraId="1D23EDE6" w14:textId="77777777" w:rsidR="00E77A30" w:rsidRPr="0019776A" w:rsidRDefault="00E77A30" w:rsidP="00E77A30">
      <w:pPr>
        <w:pStyle w:val="Default"/>
        <w:tabs>
          <w:tab w:val="left" w:pos="1440"/>
        </w:tabs>
        <w:spacing w:after="200"/>
        <w:ind w:left="1440" w:right="720"/>
        <w:jc w:val="both"/>
        <w:rPr>
          <w:rFonts w:ascii="Arial" w:hAnsi="Arial" w:cs="Arial"/>
          <w:i/>
          <w:sz w:val="22"/>
          <w:lang w:val="en-CA"/>
        </w:rPr>
      </w:pPr>
      <w:r w:rsidRPr="0019776A">
        <w:rPr>
          <w:rFonts w:ascii="Arial" w:hAnsi="Arial" w:cs="Arial"/>
          <w:i/>
          <w:sz w:val="22"/>
          <w:lang w:val="en-CA"/>
        </w:rPr>
        <w:t xml:space="preserve">c) that the breach caused damage to the plaintiff. </w:t>
      </w:r>
    </w:p>
    <w:p w14:paraId="066A569E" w14:textId="77777777" w:rsidR="00E77A30" w:rsidRPr="0019776A" w:rsidRDefault="00E77A30" w:rsidP="00E77A30">
      <w:pPr>
        <w:pStyle w:val="Default"/>
        <w:tabs>
          <w:tab w:val="left" w:pos="720"/>
        </w:tabs>
        <w:spacing w:after="200"/>
        <w:ind w:left="720" w:right="720"/>
        <w:jc w:val="both"/>
        <w:rPr>
          <w:rFonts w:ascii="Arial" w:hAnsi="Arial" w:cs="Arial"/>
          <w:i/>
          <w:sz w:val="22"/>
          <w:lang w:val="en-CA"/>
        </w:rPr>
      </w:pPr>
      <w:r w:rsidRPr="0019776A">
        <w:rPr>
          <w:rFonts w:ascii="Arial" w:hAnsi="Arial" w:cs="Arial"/>
          <w:i/>
          <w:sz w:val="22"/>
          <w:lang w:val="en-CA"/>
        </w:rPr>
        <w:t xml:space="preserve">[187] In this case, I am satisfied that all of these elements were present. </w:t>
      </w:r>
    </w:p>
    <w:p w14:paraId="38899882" w14:textId="77777777" w:rsidR="00E77A30" w:rsidRPr="0019776A" w:rsidRDefault="00E77A30" w:rsidP="00E77A30">
      <w:pPr>
        <w:pStyle w:val="Default"/>
        <w:tabs>
          <w:tab w:val="left" w:pos="270"/>
          <w:tab w:val="left" w:pos="1890"/>
        </w:tabs>
        <w:spacing w:after="200"/>
        <w:ind w:left="720" w:right="720"/>
        <w:jc w:val="both"/>
        <w:rPr>
          <w:rFonts w:ascii="Arial" w:hAnsi="Arial" w:cs="Arial"/>
          <w:i/>
          <w:sz w:val="22"/>
          <w:lang w:val="en-CA"/>
        </w:rPr>
      </w:pPr>
      <w:r w:rsidRPr="0019776A">
        <w:rPr>
          <w:rFonts w:ascii="Arial" w:hAnsi="Arial" w:cs="Arial"/>
          <w:i/>
          <w:sz w:val="22"/>
          <w:lang w:val="en-CA"/>
        </w:rPr>
        <w:t xml:space="preserve">[188] It well established that a diocese owes its parishioners a duty of care to prevent their abuse at the hands of its priests: K. (W.) v. </w:t>
      </w:r>
      <w:proofErr w:type="spellStart"/>
      <w:r w:rsidRPr="0019776A">
        <w:rPr>
          <w:rFonts w:ascii="Arial" w:hAnsi="Arial" w:cs="Arial"/>
          <w:i/>
          <w:sz w:val="22"/>
          <w:lang w:val="en-CA"/>
        </w:rPr>
        <w:t>Pornbacher</w:t>
      </w:r>
      <w:proofErr w:type="spellEnd"/>
      <w:r w:rsidRPr="0019776A">
        <w:rPr>
          <w:rFonts w:ascii="Arial" w:hAnsi="Arial" w:cs="Arial"/>
          <w:i/>
          <w:sz w:val="22"/>
          <w:lang w:val="en-CA"/>
        </w:rPr>
        <w:t xml:space="preserve"> (1997), 32 B.C.L.R. (3d) 360 (S.C.). Although these cases typically deal with the abuse of children, I see no reason why that duty should not also encompass vulnerable, adult parishioners. In any case, at the time Bishop Exner became aware of rumours of Fr. Molon’s sexual improprieties, there was undoubtedly sufficient proximity and foreseeability to </w:t>
      </w:r>
      <w:proofErr w:type="gramStart"/>
      <w:r w:rsidRPr="0019776A">
        <w:rPr>
          <w:rFonts w:ascii="Arial" w:hAnsi="Arial" w:cs="Arial"/>
          <w:i/>
          <w:sz w:val="22"/>
          <w:lang w:val="en-CA"/>
        </w:rPr>
        <w:t>found</w:t>
      </w:r>
      <w:proofErr w:type="gramEnd"/>
      <w:r w:rsidRPr="0019776A">
        <w:rPr>
          <w:rFonts w:ascii="Arial" w:hAnsi="Arial" w:cs="Arial"/>
          <w:i/>
          <w:sz w:val="22"/>
          <w:lang w:val="en-CA"/>
        </w:rPr>
        <w:t xml:space="preserve"> a duty of care. Accordingly, I find the Diocese owed the plaintiff a duty of care to take reasonable steps to prevent her abuse at the hands of Fr. Molon. </w:t>
      </w:r>
    </w:p>
    <w:p w14:paraId="11AC740B" w14:textId="77777777" w:rsidR="00E77A30" w:rsidRPr="0019776A" w:rsidRDefault="00E77A30" w:rsidP="00E77A30">
      <w:pPr>
        <w:pStyle w:val="Default"/>
        <w:tabs>
          <w:tab w:val="left" w:pos="720"/>
        </w:tabs>
        <w:spacing w:after="200"/>
        <w:ind w:left="720" w:right="720"/>
        <w:jc w:val="both"/>
        <w:rPr>
          <w:rFonts w:ascii="Arial" w:hAnsi="Arial" w:cs="Arial"/>
          <w:i/>
          <w:sz w:val="22"/>
          <w:lang w:val="en-CA"/>
        </w:rPr>
      </w:pPr>
      <w:r w:rsidRPr="0019776A">
        <w:rPr>
          <w:rFonts w:ascii="Arial" w:hAnsi="Arial" w:cs="Arial"/>
          <w:i/>
          <w:sz w:val="22"/>
          <w:lang w:val="en-CA"/>
        </w:rPr>
        <w:t>[189] The findings of fact I have made in this matter leave no question that Bishop Exner failed to take any such reasonable steps. His conduct fell far short of the applicable standard of care. That said, I do not conclude that the evidence supports a finding Bishop Exner deliberately failed to document the investigation; as was urged by the plaintiff.</w:t>
      </w:r>
    </w:p>
    <w:p w14:paraId="1FEC820B" w14:textId="77777777" w:rsidR="00E77A30" w:rsidRDefault="00E77A30" w:rsidP="00E77A30">
      <w:pPr>
        <w:pStyle w:val="Default"/>
        <w:tabs>
          <w:tab w:val="left" w:pos="720"/>
        </w:tabs>
        <w:spacing w:after="200"/>
        <w:ind w:left="720" w:right="720"/>
        <w:jc w:val="both"/>
        <w:rPr>
          <w:rFonts w:ascii="Arial" w:hAnsi="Arial" w:cs="Arial"/>
          <w:i/>
          <w:sz w:val="22"/>
          <w:lang w:val="en-CA"/>
        </w:rPr>
      </w:pPr>
      <w:r w:rsidRPr="0019776A">
        <w:rPr>
          <w:rFonts w:ascii="Arial" w:hAnsi="Arial" w:cs="Arial"/>
          <w:i/>
          <w:sz w:val="22"/>
          <w:lang w:val="en-CA"/>
        </w:rPr>
        <w:t>[190] Finally, it is clear that but for Bishop Exner’s negligence, Fr. Molon would not have committed the assaults. Had Bishop Exner taken appropriate steps prior to the arrival of the plaintiff, Fr. Molon would never have engaged in the abuse of the plaintiff starting that fall. Whatever damages flow from Fr. Molon’s abuse therefore also flow from the Diocese’s negligence: both were necessary causes of this damage.</w:t>
      </w:r>
    </w:p>
    <w:p w14:paraId="4F45B4BD" w14:textId="67CA2113" w:rsidR="00E77A30" w:rsidRPr="00442ACB" w:rsidRDefault="00E77A30" w:rsidP="00A95B60">
      <w:pPr>
        <w:pStyle w:val="Default"/>
        <w:tabs>
          <w:tab w:val="left" w:pos="720"/>
        </w:tabs>
        <w:spacing w:after="200"/>
        <w:jc w:val="both"/>
        <w:rPr>
          <w:rFonts w:ascii="Arial" w:hAnsi="Arial" w:cs="Arial"/>
          <w:lang w:val="en-CA"/>
        </w:rPr>
      </w:pPr>
      <w:r w:rsidRPr="00442ACB">
        <w:rPr>
          <w:rStyle w:val="Hyperlink"/>
          <w:rFonts w:ascii="Arial" w:hAnsi="Arial" w:cs="Arial"/>
          <w:color w:val="auto"/>
          <w:u w:val="none"/>
          <w:lang w:val="en-CA"/>
        </w:rPr>
        <w:t xml:space="preserve">For Discussion: </w:t>
      </w:r>
      <w:r w:rsidR="00153FE7">
        <w:rPr>
          <w:rStyle w:val="Hyperlink"/>
          <w:rFonts w:ascii="Arial" w:hAnsi="Arial" w:cs="Arial"/>
          <w:color w:val="auto"/>
          <w:u w:val="none"/>
          <w:lang w:val="en-CA"/>
        </w:rPr>
        <w:t xml:space="preserve">Should ‘grooming’ be a stand-alone actionable tort?  </w:t>
      </w:r>
      <w:r w:rsidRPr="00442ACB">
        <w:rPr>
          <w:rStyle w:val="Hyperlink"/>
          <w:rFonts w:ascii="Arial" w:hAnsi="Arial" w:cs="Arial"/>
          <w:i/>
          <w:color w:val="auto"/>
          <w:u w:val="none"/>
          <w:lang w:val="en-CA"/>
        </w:rPr>
        <w:t>Walsh v. Byrne</w:t>
      </w:r>
      <w:r w:rsidRPr="00442ACB">
        <w:rPr>
          <w:rStyle w:val="Hyperlink"/>
          <w:rFonts w:ascii="Arial" w:hAnsi="Arial" w:cs="Arial"/>
          <w:color w:val="auto"/>
          <w:u w:val="none"/>
          <w:lang w:val="en-CA"/>
        </w:rPr>
        <w:t xml:space="preserve"> </w:t>
      </w:r>
      <w:hyperlink r:id="rId100" w:history="1">
        <w:r w:rsidRPr="00442ACB">
          <w:rPr>
            <w:rStyle w:val="Hyperlink"/>
            <w:rFonts w:ascii="Arial" w:hAnsi="Arial" w:cs="Arial"/>
            <w:u w:val="none"/>
            <w:lang w:val="en-CA"/>
          </w:rPr>
          <w:t>[2015] IEHC 414</w:t>
        </w:r>
      </w:hyperlink>
      <w:r w:rsidRPr="00442ACB">
        <w:rPr>
          <w:rFonts w:ascii="Arial" w:hAnsi="Arial" w:cs="Arial"/>
          <w:lang w:val="en-CA"/>
        </w:rPr>
        <w:t xml:space="preserve"> – Irish High Court decision on the novel tort of sexual grooming. For an article written by the UK law firm Clyde &amp; Co. on this decision</w:t>
      </w:r>
      <w:r w:rsidR="00153FE7">
        <w:rPr>
          <w:rFonts w:ascii="Arial" w:hAnsi="Arial" w:cs="Arial"/>
          <w:lang w:val="en-CA"/>
        </w:rPr>
        <w:t xml:space="preserve"> and one following it</w:t>
      </w:r>
      <w:r w:rsidRPr="00442ACB">
        <w:rPr>
          <w:rFonts w:ascii="Arial" w:hAnsi="Arial" w:cs="Arial"/>
          <w:lang w:val="en-CA"/>
        </w:rPr>
        <w:t xml:space="preserve">, please see this link </w:t>
      </w:r>
      <w:hyperlink r:id="rId101" w:history="1">
        <w:r w:rsidRPr="00442ACB">
          <w:rPr>
            <w:rStyle w:val="Hyperlink"/>
            <w:rFonts w:ascii="Arial" w:hAnsi="Arial" w:cs="Arial"/>
            <w:u w:val="none"/>
            <w:lang w:val="en-CA"/>
          </w:rPr>
          <w:t>here</w:t>
        </w:r>
      </w:hyperlink>
      <w:r w:rsidRPr="00442ACB">
        <w:rPr>
          <w:rFonts w:ascii="Arial" w:hAnsi="Arial" w:cs="Arial"/>
          <w:lang w:val="en-CA"/>
        </w:rPr>
        <w:t>.</w:t>
      </w:r>
    </w:p>
    <w:p w14:paraId="59C59AAA" w14:textId="1DA02E14" w:rsidR="00153FE7" w:rsidRDefault="001C4180" w:rsidP="00C736A8">
      <w:pPr>
        <w:pStyle w:val="Default"/>
        <w:tabs>
          <w:tab w:val="left" w:pos="720"/>
        </w:tabs>
        <w:spacing w:after="200"/>
        <w:ind w:right="720"/>
        <w:jc w:val="both"/>
        <w:rPr>
          <w:rStyle w:val="Hyperlink"/>
          <w:rFonts w:ascii="Arial" w:hAnsi="Arial" w:cs="Arial"/>
          <w:b/>
          <w:color w:val="auto"/>
          <w:u w:val="none"/>
          <w:lang w:val="en-CA"/>
        </w:rPr>
      </w:pPr>
      <w:r>
        <w:rPr>
          <w:rStyle w:val="Hyperlink"/>
          <w:rFonts w:ascii="Arial" w:hAnsi="Arial" w:cs="Arial"/>
          <w:b/>
          <w:color w:val="auto"/>
          <w:u w:val="none"/>
          <w:lang w:val="en-CA"/>
        </w:rPr>
        <w:br/>
      </w:r>
      <w:r w:rsidR="00153FE7">
        <w:rPr>
          <w:rStyle w:val="Hyperlink"/>
          <w:rFonts w:ascii="Arial" w:hAnsi="Arial" w:cs="Arial"/>
          <w:b/>
          <w:color w:val="auto"/>
          <w:u w:val="none"/>
          <w:lang w:val="en-CA"/>
        </w:rPr>
        <w:t xml:space="preserve">NEXT WEEK, </w:t>
      </w:r>
      <w:r>
        <w:rPr>
          <w:rStyle w:val="Hyperlink"/>
          <w:rFonts w:ascii="Arial" w:hAnsi="Arial" w:cs="Arial"/>
          <w:b/>
          <w:color w:val="auto"/>
          <w:u w:val="none"/>
          <w:lang w:val="en-CA"/>
        </w:rPr>
        <w:t xml:space="preserve">Monday, </w:t>
      </w:r>
      <w:r w:rsidR="00153FE7">
        <w:rPr>
          <w:rStyle w:val="Hyperlink"/>
          <w:rFonts w:ascii="Arial" w:hAnsi="Arial" w:cs="Arial"/>
          <w:b/>
          <w:color w:val="auto"/>
          <w:u w:val="none"/>
          <w:lang w:val="en-CA"/>
        </w:rPr>
        <w:t>January 2</w:t>
      </w:r>
      <w:r w:rsidR="00B15218">
        <w:rPr>
          <w:rStyle w:val="Hyperlink"/>
          <w:rFonts w:ascii="Arial" w:hAnsi="Arial" w:cs="Arial"/>
          <w:b/>
          <w:color w:val="auto"/>
          <w:u w:val="none"/>
          <w:lang w:val="en-CA"/>
        </w:rPr>
        <w:t>1</w:t>
      </w:r>
      <w:r w:rsidR="00153FE7">
        <w:rPr>
          <w:rStyle w:val="Hyperlink"/>
          <w:rFonts w:ascii="Arial" w:hAnsi="Arial" w:cs="Arial"/>
          <w:b/>
          <w:color w:val="auto"/>
          <w:u w:val="none"/>
          <w:lang w:val="en-CA"/>
        </w:rPr>
        <w:t>, 202</w:t>
      </w:r>
      <w:r w:rsidR="00B15218">
        <w:rPr>
          <w:rStyle w:val="Hyperlink"/>
          <w:rFonts w:ascii="Arial" w:hAnsi="Arial" w:cs="Arial"/>
          <w:b/>
          <w:color w:val="auto"/>
          <w:u w:val="none"/>
          <w:lang w:val="en-CA"/>
        </w:rPr>
        <w:t>5</w:t>
      </w:r>
      <w:r w:rsidR="00153FE7">
        <w:rPr>
          <w:rStyle w:val="Hyperlink"/>
          <w:rFonts w:ascii="Arial" w:hAnsi="Arial" w:cs="Arial"/>
          <w:b/>
          <w:color w:val="auto"/>
          <w:u w:val="none"/>
          <w:lang w:val="en-CA"/>
        </w:rPr>
        <w:t>: WEEK 3, CAUSATION</w:t>
      </w:r>
    </w:p>
    <w:p w14:paraId="518B93A6" w14:textId="77777777" w:rsidR="00153FE7" w:rsidRPr="00B15218" w:rsidRDefault="00153FE7" w:rsidP="00153FE7">
      <w:pPr>
        <w:widowControl w:val="0"/>
        <w:autoSpaceDE w:val="0"/>
        <w:autoSpaceDN w:val="0"/>
        <w:adjustRightInd w:val="0"/>
        <w:ind w:left="360"/>
        <w:jc w:val="both"/>
        <w:rPr>
          <w:rFonts w:ascii="Arial" w:hAnsi="Arial" w:cs="Arial"/>
          <w:b/>
          <w:color w:val="FF0000"/>
          <w:lang w:val="en-CA"/>
        </w:rPr>
      </w:pPr>
      <w:r w:rsidRPr="00B15218">
        <w:rPr>
          <w:rFonts w:ascii="Arial" w:hAnsi="Arial" w:cs="Arial"/>
          <w:b/>
          <w:color w:val="FF0000"/>
          <w:lang w:val="en-CA"/>
        </w:rPr>
        <w:t>Please read in advance of class:</w:t>
      </w:r>
    </w:p>
    <w:p w14:paraId="72AC250A" w14:textId="77777777" w:rsidR="00153FE7" w:rsidRPr="00B15218" w:rsidRDefault="00153FE7" w:rsidP="00153FE7">
      <w:pPr>
        <w:widowControl w:val="0"/>
        <w:autoSpaceDE w:val="0"/>
        <w:autoSpaceDN w:val="0"/>
        <w:adjustRightInd w:val="0"/>
        <w:ind w:left="360"/>
        <w:jc w:val="both"/>
        <w:rPr>
          <w:rFonts w:ascii="Arial" w:hAnsi="Arial" w:cs="Arial"/>
          <w:b/>
          <w:color w:val="FF0000"/>
          <w:lang w:val="en-CA"/>
        </w:rPr>
      </w:pPr>
    </w:p>
    <w:p w14:paraId="5115D363" w14:textId="77777777" w:rsidR="00153FE7" w:rsidRPr="00B15218" w:rsidRDefault="00153FE7" w:rsidP="00EF10C2">
      <w:pPr>
        <w:pStyle w:val="ListParagraph"/>
        <w:numPr>
          <w:ilvl w:val="1"/>
          <w:numId w:val="35"/>
        </w:numPr>
        <w:spacing w:line="276" w:lineRule="auto"/>
        <w:ind w:left="1080"/>
        <w:jc w:val="both"/>
        <w:rPr>
          <w:rFonts w:ascii="Arial" w:hAnsi="Arial" w:cs="Arial"/>
          <w:b/>
          <w:color w:val="FF0000"/>
          <w:sz w:val="24"/>
          <w:szCs w:val="24"/>
          <w:lang w:val="en-CA"/>
        </w:rPr>
      </w:pPr>
      <w:r w:rsidRPr="00B15218">
        <w:rPr>
          <w:rFonts w:ascii="Arial" w:hAnsi="Arial" w:cs="Arial"/>
          <w:b/>
          <w:i/>
          <w:color w:val="FF0000"/>
          <w:sz w:val="24"/>
          <w:szCs w:val="24"/>
          <w:lang w:val="en-CA"/>
        </w:rPr>
        <w:t xml:space="preserve">Athey v. </w:t>
      </w:r>
      <w:proofErr w:type="spellStart"/>
      <w:r w:rsidRPr="00B15218">
        <w:rPr>
          <w:rFonts w:ascii="Arial" w:hAnsi="Arial" w:cs="Arial"/>
          <w:b/>
          <w:i/>
          <w:color w:val="FF0000"/>
          <w:sz w:val="24"/>
          <w:szCs w:val="24"/>
          <w:lang w:val="en-CA"/>
        </w:rPr>
        <w:t>Leonati</w:t>
      </w:r>
      <w:proofErr w:type="spellEnd"/>
      <w:r w:rsidRPr="00B15218">
        <w:rPr>
          <w:rFonts w:ascii="Arial" w:hAnsi="Arial" w:cs="Arial"/>
          <w:b/>
          <w:i/>
          <w:color w:val="FF0000"/>
          <w:sz w:val="24"/>
          <w:szCs w:val="24"/>
          <w:lang w:val="en-CA"/>
        </w:rPr>
        <w:t xml:space="preserve"> </w:t>
      </w:r>
      <w:hyperlink r:id="rId102" w:history="1">
        <w:r w:rsidRPr="00B15218">
          <w:rPr>
            <w:rStyle w:val="Hyperlink"/>
            <w:rFonts w:ascii="Arial" w:hAnsi="Arial" w:cs="Arial"/>
            <w:b/>
            <w:color w:val="FF0000"/>
            <w:sz w:val="24"/>
            <w:szCs w:val="24"/>
            <w:lang w:val="en-CA"/>
          </w:rPr>
          <w:t>[1996] 3 SCR 458</w:t>
        </w:r>
      </w:hyperlink>
      <w:r w:rsidRPr="00B15218">
        <w:rPr>
          <w:rFonts w:ascii="Arial" w:hAnsi="Arial" w:cs="Arial"/>
          <w:b/>
          <w:color w:val="FF0000"/>
          <w:sz w:val="24"/>
          <w:szCs w:val="24"/>
          <w:lang w:val="en-CA"/>
        </w:rPr>
        <w:t xml:space="preserve"> </w:t>
      </w:r>
    </w:p>
    <w:p w14:paraId="4D5B6663" w14:textId="77777777" w:rsidR="00153FE7" w:rsidRPr="00B15218" w:rsidRDefault="00153FE7" w:rsidP="00EF10C2">
      <w:pPr>
        <w:pStyle w:val="ListParagraph"/>
        <w:numPr>
          <w:ilvl w:val="1"/>
          <w:numId w:val="35"/>
        </w:numPr>
        <w:spacing w:line="276" w:lineRule="auto"/>
        <w:ind w:left="1080"/>
        <w:jc w:val="both"/>
        <w:rPr>
          <w:rFonts w:ascii="Arial" w:hAnsi="Arial" w:cs="Arial"/>
          <w:b/>
          <w:color w:val="FF0000"/>
          <w:sz w:val="24"/>
          <w:szCs w:val="24"/>
          <w:lang w:val="en-CA"/>
        </w:rPr>
      </w:pPr>
      <w:proofErr w:type="spellStart"/>
      <w:r w:rsidRPr="00B15218">
        <w:rPr>
          <w:rFonts w:ascii="Arial" w:hAnsi="Arial" w:cs="Arial"/>
          <w:b/>
          <w:i/>
          <w:color w:val="FF0000"/>
          <w:sz w:val="24"/>
          <w:szCs w:val="24"/>
          <w:lang w:val="en-CA"/>
        </w:rPr>
        <w:t>Resurfice</w:t>
      </w:r>
      <w:proofErr w:type="spellEnd"/>
      <w:r w:rsidRPr="00B15218">
        <w:rPr>
          <w:rFonts w:ascii="Arial" w:hAnsi="Arial" w:cs="Arial"/>
          <w:b/>
          <w:i/>
          <w:color w:val="FF0000"/>
          <w:sz w:val="24"/>
          <w:szCs w:val="24"/>
          <w:lang w:val="en-CA"/>
        </w:rPr>
        <w:t xml:space="preserve"> Corp. v. Hanke,</w:t>
      </w:r>
      <w:r w:rsidRPr="00B15218">
        <w:rPr>
          <w:rFonts w:ascii="Arial" w:hAnsi="Arial" w:cs="Arial"/>
          <w:b/>
          <w:color w:val="FF0000"/>
          <w:sz w:val="24"/>
          <w:szCs w:val="24"/>
          <w:lang w:val="en-CA"/>
        </w:rPr>
        <w:t xml:space="preserve"> </w:t>
      </w:r>
      <w:hyperlink r:id="rId103" w:history="1">
        <w:r w:rsidRPr="00B15218">
          <w:rPr>
            <w:rStyle w:val="Hyperlink"/>
            <w:rFonts w:ascii="Arial" w:hAnsi="Arial" w:cs="Arial"/>
            <w:b/>
            <w:color w:val="FF0000"/>
            <w:sz w:val="24"/>
            <w:szCs w:val="24"/>
            <w:lang w:val="en-CA"/>
          </w:rPr>
          <w:t>2007 1 SCR 333</w:t>
        </w:r>
      </w:hyperlink>
      <w:r w:rsidRPr="00B15218">
        <w:rPr>
          <w:rFonts w:ascii="Arial" w:hAnsi="Arial" w:cs="Arial"/>
          <w:b/>
          <w:color w:val="FF0000"/>
          <w:sz w:val="24"/>
          <w:szCs w:val="24"/>
          <w:lang w:val="en-CA"/>
        </w:rPr>
        <w:t xml:space="preserve">  </w:t>
      </w:r>
    </w:p>
    <w:p w14:paraId="4673D39C" w14:textId="77777777" w:rsidR="00153FE7" w:rsidRPr="00B15218" w:rsidRDefault="00153FE7" w:rsidP="00EF10C2">
      <w:pPr>
        <w:pStyle w:val="ListParagraph"/>
        <w:numPr>
          <w:ilvl w:val="1"/>
          <w:numId w:val="35"/>
        </w:numPr>
        <w:spacing w:line="276" w:lineRule="auto"/>
        <w:ind w:left="1080"/>
        <w:jc w:val="both"/>
        <w:rPr>
          <w:rFonts w:ascii="Arial" w:hAnsi="Arial" w:cs="Arial"/>
          <w:b/>
          <w:color w:val="FF0000"/>
          <w:sz w:val="24"/>
          <w:szCs w:val="24"/>
          <w:lang w:val="en-CA"/>
        </w:rPr>
      </w:pPr>
      <w:r w:rsidRPr="00B15218">
        <w:rPr>
          <w:rFonts w:ascii="Arial" w:hAnsi="Arial" w:cs="Arial"/>
          <w:b/>
          <w:i/>
          <w:color w:val="FF0000"/>
          <w:sz w:val="24"/>
          <w:szCs w:val="24"/>
          <w:lang w:val="en-CA"/>
        </w:rPr>
        <w:t>Clements v. Clements</w:t>
      </w:r>
      <w:r w:rsidRPr="00B15218">
        <w:rPr>
          <w:rFonts w:ascii="Arial" w:hAnsi="Arial" w:cs="Arial"/>
          <w:b/>
          <w:color w:val="FF0000"/>
          <w:sz w:val="24"/>
          <w:szCs w:val="24"/>
          <w:lang w:val="en-CA"/>
        </w:rPr>
        <w:t xml:space="preserve">, </w:t>
      </w:r>
      <w:hyperlink r:id="rId104" w:history="1">
        <w:r w:rsidRPr="00B15218">
          <w:rPr>
            <w:rStyle w:val="Hyperlink"/>
            <w:rFonts w:ascii="Arial" w:hAnsi="Arial" w:cs="Arial"/>
            <w:b/>
            <w:color w:val="FF0000"/>
            <w:sz w:val="24"/>
            <w:szCs w:val="24"/>
            <w:lang w:val="en-CA"/>
          </w:rPr>
          <w:t>2012 SCC 32</w:t>
        </w:r>
      </w:hyperlink>
      <w:r w:rsidRPr="00B15218">
        <w:rPr>
          <w:rFonts w:ascii="Arial" w:hAnsi="Arial" w:cs="Arial"/>
          <w:b/>
          <w:color w:val="FF0000"/>
          <w:sz w:val="24"/>
          <w:szCs w:val="24"/>
          <w:lang w:val="en-CA"/>
        </w:rPr>
        <w:t xml:space="preserve"> </w:t>
      </w:r>
    </w:p>
    <w:p w14:paraId="4A06CBE7" w14:textId="77C1BBBE" w:rsidR="00153FE7" w:rsidRPr="00B15218" w:rsidRDefault="00153FE7" w:rsidP="00751F28">
      <w:pPr>
        <w:pStyle w:val="ListParagraph"/>
        <w:numPr>
          <w:ilvl w:val="1"/>
          <w:numId w:val="35"/>
        </w:numPr>
        <w:spacing w:line="276" w:lineRule="auto"/>
        <w:ind w:left="1080"/>
        <w:jc w:val="both"/>
        <w:rPr>
          <w:rStyle w:val="Hyperlink"/>
          <w:rFonts w:ascii="Arial" w:hAnsi="Arial" w:cs="Arial"/>
          <w:b/>
          <w:color w:val="FF0000"/>
          <w:sz w:val="24"/>
          <w:szCs w:val="24"/>
          <w:u w:val="none"/>
          <w:lang w:val="en-CA"/>
        </w:rPr>
      </w:pPr>
      <w:proofErr w:type="spellStart"/>
      <w:r w:rsidRPr="00B15218">
        <w:rPr>
          <w:rFonts w:ascii="Arial" w:hAnsi="Arial" w:cs="Arial"/>
          <w:b/>
          <w:i/>
          <w:color w:val="FF0000"/>
          <w:sz w:val="24"/>
          <w:szCs w:val="24"/>
          <w:lang w:val="en-CA"/>
        </w:rPr>
        <w:t>Shongu</w:t>
      </w:r>
      <w:proofErr w:type="spellEnd"/>
      <w:r w:rsidRPr="00B15218">
        <w:rPr>
          <w:rFonts w:ascii="Arial" w:hAnsi="Arial" w:cs="Arial"/>
          <w:b/>
          <w:i/>
          <w:color w:val="FF0000"/>
          <w:sz w:val="24"/>
          <w:szCs w:val="24"/>
          <w:lang w:val="en-CA"/>
        </w:rPr>
        <w:t xml:space="preserve"> v Jing</w:t>
      </w:r>
      <w:r w:rsidRPr="00B15218">
        <w:rPr>
          <w:rFonts w:ascii="Arial" w:hAnsi="Arial" w:cs="Arial"/>
          <w:b/>
          <w:color w:val="FF0000"/>
          <w:sz w:val="24"/>
          <w:szCs w:val="24"/>
          <w:lang w:val="en-CA"/>
        </w:rPr>
        <w:t xml:space="preserve">, </w:t>
      </w:r>
      <w:hyperlink r:id="rId105" w:history="1">
        <w:r w:rsidRPr="00B15218">
          <w:rPr>
            <w:rStyle w:val="Hyperlink"/>
            <w:rFonts w:ascii="Arial" w:hAnsi="Arial" w:cs="Arial"/>
            <w:b/>
            <w:color w:val="FF0000"/>
            <w:sz w:val="24"/>
            <w:szCs w:val="24"/>
            <w:lang w:val="en-CA"/>
          </w:rPr>
          <w:t>2016 BCSC 901</w:t>
        </w:r>
      </w:hyperlink>
    </w:p>
    <w:p w14:paraId="1DD15C4D" w14:textId="4F77B28D" w:rsidR="000112BA" w:rsidRPr="00B15218" w:rsidRDefault="000112BA" w:rsidP="00751F28">
      <w:pPr>
        <w:pStyle w:val="ListParagraph"/>
        <w:numPr>
          <w:ilvl w:val="1"/>
          <w:numId w:val="35"/>
        </w:numPr>
        <w:spacing w:line="276" w:lineRule="auto"/>
        <w:ind w:left="1080"/>
        <w:jc w:val="both"/>
        <w:rPr>
          <w:rStyle w:val="Hyperlink"/>
          <w:rFonts w:ascii="Arial" w:hAnsi="Arial" w:cs="Arial"/>
          <w:b/>
          <w:color w:val="FF0000"/>
          <w:sz w:val="24"/>
          <w:szCs w:val="24"/>
          <w:u w:val="none"/>
          <w:lang w:val="en-CA"/>
        </w:rPr>
      </w:pPr>
      <w:r w:rsidRPr="00B15218">
        <w:rPr>
          <w:rFonts w:ascii="Arial" w:hAnsi="Arial" w:cs="Arial"/>
          <w:b/>
          <w:i/>
          <w:color w:val="FF0000"/>
          <w:sz w:val="24"/>
          <w:szCs w:val="24"/>
          <w:lang w:val="en-CA"/>
        </w:rPr>
        <w:t xml:space="preserve">T.S. v. Gough, </w:t>
      </w:r>
      <w:hyperlink r:id="rId106" w:history="1">
        <w:r w:rsidRPr="00B15218">
          <w:rPr>
            <w:rStyle w:val="Hyperlink"/>
            <w:rFonts w:ascii="Arial" w:hAnsi="Arial" w:cs="Arial"/>
            <w:b/>
            <w:iCs/>
            <w:color w:val="FF0000"/>
            <w:sz w:val="24"/>
            <w:szCs w:val="24"/>
            <w:lang w:val="en-CA"/>
          </w:rPr>
          <w:t>2022 BCSC 264</w:t>
        </w:r>
      </w:hyperlink>
      <w:r w:rsidRPr="00B15218">
        <w:rPr>
          <w:rFonts w:ascii="Arial" w:hAnsi="Arial" w:cs="Arial"/>
          <w:b/>
          <w:i/>
          <w:color w:val="FF0000"/>
          <w:sz w:val="24"/>
          <w:szCs w:val="24"/>
          <w:lang w:val="en-CA"/>
        </w:rPr>
        <w:t xml:space="preserve"> </w:t>
      </w:r>
    </w:p>
    <w:sectPr w:rsidR="000112BA" w:rsidRPr="00B15218" w:rsidSect="00EB77CF">
      <w:footerReference w:type="default" r:id="rId107"/>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6E91" w14:textId="77777777" w:rsidR="006E1549" w:rsidRDefault="006E1549" w:rsidP="004C4382">
      <w:r>
        <w:separator/>
      </w:r>
    </w:p>
  </w:endnote>
  <w:endnote w:type="continuationSeparator" w:id="0">
    <w:p w14:paraId="124EE849" w14:textId="77777777" w:rsidR="006E1549" w:rsidRDefault="006E1549" w:rsidP="004C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930290"/>
      <w:docPartObj>
        <w:docPartGallery w:val="Page Numbers (Bottom of Page)"/>
        <w:docPartUnique/>
      </w:docPartObj>
    </w:sdtPr>
    <w:sdtEndPr>
      <w:rPr>
        <w:noProof/>
      </w:rPr>
    </w:sdtEndPr>
    <w:sdtContent>
      <w:p w14:paraId="007A652D" w14:textId="149F48B0" w:rsidR="00545533" w:rsidRDefault="00545533">
        <w:pPr>
          <w:pStyle w:val="Footer"/>
          <w:jc w:val="right"/>
        </w:pPr>
        <w:r>
          <w:fldChar w:fldCharType="begin"/>
        </w:r>
        <w:r>
          <w:instrText xml:space="preserve"> PAGE   \* MERGEFORMAT </w:instrText>
        </w:r>
        <w:r>
          <w:fldChar w:fldCharType="separate"/>
        </w:r>
        <w:r w:rsidR="00EF5358">
          <w:rPr>
            <w:noProof/>
          </w:rPr>
          <w:t>1</w:t>
        </w:r>
        <w:r>
          <w:rPr>
            <w:noProof/>
          </w:rPr>
          <w:fldChar w:fldCharType="end"/>
        </w:r>
      </w:p>
    </w:sdtContent>
  </w:sdt>
  <w:p w14:paraId="7288176E" w14:textId="77777777" w:rsidR="00545533" w:rsidRDefault="00545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6FBE6" w14:textId="77777777" w:rsidR="006E1549" w:rsidRDefault="006E1549" w:rsidP="004C4382">
      <w:r>
        <w:separator/>
      </w:r>
    </w:p>
  </w:footnote>
  <w:footnote w:type="continuationSeparator" w:id="0">
    <w:p w14:paraId="6EDAEEAC" w14:textId="77777777" w:rsidR="006E1549" w:rsidRDefault="006E1549" w:rsidP="004C4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E11"/>
    <w:multiLevelType w:val="hybridMultilevel"/>
    <w:tmpl w:val="41885C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6B3C93"/>
    <w:multiLevelType w:val="hybridMultilevel"/>
    <w:tmpl w:val="4BCE9F0A"/>
    <w:lvl w:ilvl="0" w:tplc="40E28848">
      <w:numFmt w:val="bullet"/>
      <w:lvlText w:val="•"/>
      <w:lvlJc w:val="left"/>
      <w:pPr>
        <w:ind w:left="1440" w:hanging="360"/>
      </w:pPr>
      <w:rPr>
        <w:rFonts w:ascii="ArialMT" w:eastAsiaTheme="minorHAnsi" w:hAnsi="ArialMT"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5D20A69"/>
    <w:multiLevelType w:val="hybridMultilevel"/>
    <w:tmpl w:val="96560364"/>
    <w:lvl w:ilvl="0" w:tplc="617EA5E8">
      <w:numFmt w:val="bullet"/>
      <w:lvlText w:val="•"/>
      <w:lvlJc w:val="left"/>
      <w:pPr>
        <w:ind w:left="360" w:hanging="360"/>
      </w:pPr>
      <w:rPr>
        <w:rFonts w:ascii="ArialMT" w:eastAsiaTheme="minorHAnsi" w:hAnsi="ArialMT" w:cstheme="minorBidi" w:hint="default"/>
        <w:sz w:val="32"/>
        <w:szCs w:val="32"/>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CEB53A9"/>
    <w:multiLevelType w:val="multilevel"/>
    <w:tmpl w:val="33F00FF6"/>
    <w:lvl w:ilvl="0">
      <w:start w:val="1"/>
      <w:numFmt w:val="decimal"/>
      <w:lvlText w:val="%1"/>
      <w:lvlJc w:val="left"/>
      <w:pPr>
        <w:ind w:left="480" w:hanging="480"/>
      </w:pPr>
      <w:rPr>
        <w:rFonts w:hint="default"/>
        <w:u w:val="single"/>
      </w:rPr>
    </w:lvl>
    <w:lvl w:ilvl="1">
      <w:start w:val="6"/>
      <w:numFmt w:val="decimal"/>
      <w:lvlText w:val="%1.%2"/>
      <w:lvlJc w:val="left"/>
      <w:pPr>
        <w:ind w:left="480" w:hanging="480"/>
      </w:pPr>
      <w:rPr>
        <w:rFonts w:hint="default"/>
        <w:u w:val="none"/>
      </w:rPr>
    </w:lvl>
    <w:lvl w:ilvl="2">
      <w:start w:val="2"/>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single"/>
      </w:rPr>
    </w:lvl>
    <w:lvl w:ilvl="4">
      <w:start w:val="1"/>
      <w:numFmt w:val="decimal"/>
      <w:lvlText w:val="%1.%2.%3.%4.%5"/>
      <w:lvlJc w:val="left"/>
      <w:pPr>
        <w:ind w:left="1800" w:hanging="1080"/>
      </w:pPr>
      <w:rPr>
        <w:rFonts w:hint="default"/>
        <w:u w:val="single"/>
      </w:rPr>
    </w:lvl>
    <w:lvl w:ilvl="5">
      <w:start w:val="1"/>
      <w:numFmt w:val="decimal"/>
      <w:lvlText w:val="%1.%2.%3.%4.%5.%6"/>
      <w:lvlJc w:val="left"/>
      <w:pPr>
        <w:ind w:left="1980" w:hanging="1080"/>
      </w:pPr>
      <w:rPr>
        <w:rFonts w:hint="default"/>
        <w:u w:val="single"/>
      </w:rPr>
    </w:lvl>
    <w:lvl w:ilvl="6">
      <w:start w:val="1"/>
      <w:numFmt w:val="decimal"/>
      <w:lvlText w:val="%1.%2.%3.%4.%5.%6.%7"/>
      <w:lvlJc w:val="left"/>
      <w:pPr>
        <w:ind w:left="2520" w:hanging="1440"/>
      </w:pPr>
      <w:rPr>
        <w:rFonts w:hint="default"/>
        <w:u w:val="single"/>
      </w:rPr>
    </w:lvl>
    <w:lvl w:ilvl="7">
      <w:start w:val="1"/>
      <w:numFmt w:val="decimal"/>
      <w:lvlText w:val="%1.%2.%3.%4.%5.%6.%7.%8"/>
      <w:lvlJc w:val="left"/>
      <w:pPr>
        <w:ind w:left="2700" w:hanging="1440"/>
      </w:pPr>
      <w:rPr>
        <w:rFonts w:hint="default"/>
        <w:u w:val="single"/>
      </w:rPr>
    </w:lvl>
    <w:lvl w:ilvl="8">
      <w:start w:val="1"/>
      <w:numFmt w:val="decimal"/>
      <w:lvlText w:val="%1.%2.%3.%4.%5.%6.%7.%8.%9"/>
      <w:lvlJc w:val="left"/>
      <w:pPr>
        <w:ind w:left="3240" w:hanging="1800"/>
      </w:pPr>
      <w:rPr>
        <w:rFonts w:hint="default"/>
        <w:u w:val="single"/>
      </w:rPr>
    </w:lvl>
  </w:abstractNum>
  <w:abstractNum w:abstractNumId="4" w15:restartNumberingAfterBreak="0">
    <w:nsid w:val="10A25BAC"/>
    <w:multiLevelType w:val="hybridMultilevel"/>
    <w:tmpl w:val="2380291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15A4CAE"/>
    <w:multiLevelType w:val="multilevel"/>
    <w:tmpl w:val="16C01DFE"/>
    <w:lvl w:ilvl="0">
      <w:start w:val="1"/>
      <w:numFmt w:val="decimal"/>
      <w:lvlText w:val="%1"/>
      <w:lvlJc w:val="left"/>
      <w:pPr>
        <w:ind w:left="480" w:hanging="480"/>
      </w:pPr>
      <w:rPr>
        <w:rFonts w:hint="default"/>
        <w:u w:val="single"/>
      </w:rPr>
    </w:lvl>
    <w:lvl w:ilvl="1">
      <w:start w:val="4"/>
      <w:numFmt w:val="decimal"/>
      <w:lvlText w:val="%1.%2"/>
      <w:lvlJc w:val="left"/>
      <w:pPr>
        <w:ind w:left="660" w:hanging="480"/>
      </w:pPr>
      <w:rPr>
        <w:rFonts w:hint="default"/>
        <w:u w:val="none"/>
      </w:rPr>
    </w:lvl>
    <w:lvl w:ilvl="2">
      <w:start w:val="2"/>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single"/>
      </w:rPr>
    </w:lvl>
    <w:lvl w:ilvl="4">
      <w:start w:val="1"/>
      <w:numFmt w:val="decimal"/>
      <w:lvlText w:val="%1.%2.%3.%4.%5"/>
      <w:lvlJc w:val="left"/>
      <w:pPr>
        <w:ind w:left="1800" w:hanging="1080"/>
      </w:pPr>
      <w:rPr>
        <w:rFonts w:hint="default"/>
        <w:u w:val="single"/>
      </w:rPr>
    </w:lvl>
    <w:lvl w:ilvl="5">
      <w:start w:val="1"/>
      <w:numFmt w:val="decimal"/>
      <w:lvlText w:val="%1.%2.%3.%4.%5.%6"/>
      <w:lvlJc w:val="left"/>
      <w:pPr>
        <w:ind w:left="1980" w:hanging="1080"/>
      </w:pPr>
      <w:rPr>
        <w:rFonts w:hint="default"/>
        <w:u w:val="single"/>
      </w:rPr>
    </w:lvl>
    <w:lvl w:ilvl="6">
      <w:start w:val="1"/>
      <w:numFmt w:val="decimal"/>
      <w:lvlText w:val="%1.%2.%3.%4.%5.%6.%7"/>
      <w:lvlJc w:val="left"/>
      <w:pPr>
        <w:ind w:left="2520" w:hanging="1440"/>
      </w:pPr>
      <w:rPr>
        <w:rFonts w:hint="default"/>
        <w:u w:val="single"/>
      </w:rPr>
    </w:lvl>
    <w:lvl w:ilvl="7">
      <w:start w:val="1"/>
      <w:numFmt w:val="decimal"/>
      <w:lvlText w:val="%1.%2.%3.%4.%5.%6.%7.%8"/>
      <w:lvlJc w:val="left"/>
      <w:pPr>
        <w:ind w:left="2700" w:hanging="1440"/>
      </w:pPr>
      <w:rPr>
        <w:rFonts w:hint="default"/>
        <w:u w:val="single"/>
      </w:rPr>
    </w:lvl>
    <w:lvl w:ilvl="8">
      <w:start w:val="1"/>
      <w:numFmt w:val="decimal"/>
      <w:lvlText w:val="%1.%2.%3.%4.%5.%6.%7.%8.%9"/>
      <w:lvlJc w:val="left"/>
      <w:pPr>
        <w:ind w:left="3240" w:hanging="1800"/>
      </w:pPr>
      <w:rPr>
        <w:rFonts w:hint="default"/>
        <w:u w:val="single"/>
      </w:rPr>
    </w:lvl>
  </w:abstractNum>
  <w:abstractNum w:abstractNumId="6" w15:restartNumberingAfterBreak="0">
    <w:nsid w:val="14936D01"/>
    <w:multiLevelType w:val="hybridMultilevel"/>
    <w:tmpl w:val="07046F40"/>
    <w:lvl w:ilvl="0" w:tplc="03681F9E">
      <w:start w:val="1"/>
      <w:numFmt w:val="decimal"/>
      <w:lvlText w:val="%1."/>
      <w:lvlJc w:val="left"/>
      <w:pPr>
        <w:ind w:left="720" w:hanging="360"/>
      </w:pPr>
      <w:rPr>
        <w:rFonts w:ascii="Arial" w:hAnsi="Arial" w:cs="Arial"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00511B"/>
    <w:multiLevelType w:val="hybridMultilevel"/>
    <w:tmpl w:val="DDBCEDE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644756F"/>
    <w:multiLevelType w:val="hybridMultilevel"/>
    <w:tmpl w:val="C9FEAB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2750BA"/>
    <w:multiLevelType w:val="multilevel"/>
    <w:tmpl w:val="02607B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D73C5B"/>
    <w:multiLevelType w:val="hybridMultilevel"/>
    <w:tmpl w:val="42CA8D0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656BCA"/>
    <w:multiLevelType w:val="multilevel"/>
    <w:tmpl w:val="0BDA0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266BB3"/>
    <w:multiLevelType w:val="multilevel"/>
    <w:tmpl w:val="87A89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E02645"/>
    <w:multiLevelType w:val="hybridMultilevel"/>
    <w:tmpl w:val="B43294BC"/>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F853628"/>
    <w:multiLevelType w:val="multilevel"/>
    <w:tmpl w:val="9FF4EBF4"/>
    <w:lvl w:ilvl="0">
      <w:start w:val="1"/>
      <w:numFmt w:val="bullet"/>
      <w:lvlText w:val=""/>
      <w:lvlJc w:val="left"/>
      <w:pPr>
        <w:tabs>
          <w:tab w:val="num" w:pos="540"/>
        </w:tabs>
        <w:ind w:left="540" w:hanging="360"/>
      </w:pPr>
      <w:rPr>
        <w:rFonts w:ascii="Symbol" w:hAnsi="Symbol" w:hint="default"/>
        <w:sz w:val="20"/>
      </w:rPr>
    </w:lvl>
    <w:lvl w:ilvl="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5" w15:restartNumberingAfterBreak="0">
    <w:nsid w:val="2FD65682"/>
    <w:multiLevelType w:val="hybridMultilevel"/>
    <w:tmpl w:val="BBE251F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FF15D23"/>
    <w:multiLevelType w:val="hybridMultilevel"/>
    <w:tmpl w:val="999ECD2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3520E8C"/>
    <w:multiLevelType w:val="hybridMultilevel"/>
    <w:tmpl w:val="9328EC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9680C6D"/>
    <w:multiLevelType w:val="hybridMultilevel"/>
    <w:tmpl w:val="A252B608"/>
    <w:lvl w:ilvl="0" w:tplc="40E28848">
      <w:numFmt w:val="bullet"/>
      <w:lvlText w:val="•"/>
      <w:lvlJc w:val="left"/>
      <w:pPr>
        <w:ind w:left="720" w:hanging="360"/>
      </w:pPr>
      <w:rPr>
        <w:rFonts w:ascii="ArialMT" w:eastAsiaTheme="minorHAnsi" w:hAnsi="ArialM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A9C3B56"/>
    <w:multiLevelType w:val="multilevel"/>
    <w:tmpl w:val="9FF4EBF4"/>
    <w:lvl w:ilvl="0">
      <w:start w:val="1"/>
      <w:numFmt w:val="bullet"/>
      <w:lvlText w:val=""/>
      <w:lvlJc w:val="left"/>
      <w:pPr>
        <w:tabs>
          <w:tab w:val="num" w:pos="540"/>
        </w:tabs>
        <w:ind w:left="540" w:hanging="360"/>
      </w:pPr>
      <w:rPr>
        <w:rFonts w:ascii="Symbol" w:hAnsi="Symbol" w:hint="default"/>
        <w:sz w:val="20"/>
      </w:rPr>
    </w:lvl>
    <w:lvl w:ilvl="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0" w15:restartNumberingAfterBreak="0">
    <w:nsid w:val="3EE528E4"/>
    <w:multiLevelType w:val="hybridMultilevel"/>
    <w:tmpl w:val="F35E1702"/>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FDA4D3A"/>
    <w:multiLevelType w:val="multilevel"/>
    <w:tmpl w:val="9FF4EBF4"/>
    <w:lvl w:ilvl="0">
      <w:start w:val="1"/>
      <w:numFmt w:val="bullet"/>
      <w:lvlText w:val=""/>
      <w:lvlJc w:val="left"/>
      <w:pPr>
        <w:tabs>
          <w:tab w:val="num" w:pos="540"/>
        </w:tabs>
        <w:ind w:left="540" w:hanging="360"/>
      </w:pPr>
      <w:rPr>
        <w:rFonts w:ascii="Symbol" w:hAnsi="Symbol" w:hint="default"/>
        <w:sz w:val="20"/>
      </w:rPr>
    </w:lvl>
    <w:lvl w:ilvl="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2" w15:restartNumberingAfterBreak="0">
    <w:nsid w:val="3FF42995"/>
    <w:multiLevelType w:val="hybridMultilevel"/>
    <w:tmpl w:val="8BFCAA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9701371"/>
    <w:multiLevelType w:val="multilevel"/>
    <w:tmpl w:val="9FF4EBF4"/>
    <w:lvl w:ilvl="0">
      <w:start w:val="1"/>
      <w:numFmt w:val="bullet"/>
      <w:lvlText w:val=""/>
      <w:lvlJc w:val="left"/>
      <w:pPr>
        <w:tabs>
          <w:tab w:val="num" w:pos="540"/>
        </w:tabs>
        <w:ind w:left="540" w:hanging="360"/>
      </w:pPr>
      <w:rPr>
        <w:rFonts w:ascii="Symbol" w:hAnsi="Symbol" w:hint="default"/>
        <w:sz w:val="20"/>
      </w:rPr>
    </w:lvl>
    <w:lvl w:ilvl="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4" w15:restartNumberingAfterBreak="0">
    <w:nsid w:val="4A0B4A66"/>
    <w:multiLevelType w:val="hybridMultilevel"/>
    <w:tmpl w:val="E9E23BE8"/>
    <w:lvl w:ilvl="0" w:tplc="10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B0119B0"/>
    <w:multiLevelType w:val="hybridMultilevel"/>
    <w:tmpl w:val="46269A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EE85EB7"/>
    <w:multiLevelType w:val="hybridMultilevel"/>
    <w:tmpl w:val="BA3871B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4FC63636"/>
    <w:multiLevelType w:val="hybridMultilevel"/>
    <w:tmpl w:val="01AC72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08A01BA"/>
    <w:multiLevelType w:val="hybridMultilevel"/>
    <w:tmpl w:val="410A70F4"/>
    <w:lvl w:ilvl="0" w:tplc="10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A4776"/>
    <w:multiLevelType w:val="hybridMultilevel"/>
    <w:tmpl w:val="58B0AB2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B9D65B1"/>
    <w:multiLevelType w:val="hybridMultilevel"/>
    <w:tmpl w:val="9D8C8F10"/>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C2C3C2D"/>
    <w:multiLevelType w:val="hybridMultilevel"/>
    <w:tmpl w:val="A4DE4B1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EAD5C9F"/>
    <w:multiLevelType w:val="hybridMultilevel"/>
    <w:tmpl w:val="17E063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3755E15"/>
    <w:multiLevelType w:val="hybridMultilevel"/>
    <w:tmpl w:val="1302749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4402BEA"/>
    <w:multiLevelType w:val="hybridMultilevel"/>
    <w:tmpl w:val="CCB28302"/>
    <w:lvl w:ilvl="0" w:tplc="10090001">
      <w:start w:val="1"/>
      <w:numFmt w:val="bullet"/>
      <w:lvlText w:val=""/>
      <w:lvlJc w:val="left"/>
      <w:pPr>
        <w:ind w:left="720" w:hanging="360"/>
      </w:pPr>
      <w:rPr>
        <w:rFonts w:ascii="Symbol" w:hAnsi="Symbol" w:hint="default"/>
      </w:rPr>
    </w:lvl>
    <w:lvl w:ilvl="1" w:tplc="40E28848">
      <w:numFmt w:val="bullet"/>
      <w:lvlText w:val="•"/>
      <w:lvlJc w:val="left"/>
      <w:pPr>
        <w:ind w:left="1440" w:hanging="360"/>
      </w:pPr>
      <w:rPr>
        <w:rFonts w:ascii="ArialMT" w:eastAsiaTheme="minorHAnsi" w:hAnsi="ArialMT" w:cstheme="minorBidi"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52E6702"/>
    <w:multiLevelType w:val="hybridMultilevel"/>
    <w:tmpl w:val="27647412"/>
    <w:lvl w:ilvl="0" w:tplc="10090003">
      <w:start w:val="1"/>
      <w:numFmt w:val="bullet"/>
      <w:lvlText w:val="o"/>
      <w:lvlJc w:val="left"/>
      <w:pPr>
        <w:ind w:left="900" w:hanging="360"/>
      </w:pPr>
      <w:rPr>
        <w:rFonts w:ascii="Courier New" w:hAnsi="Courier New" w:cs="Courier New"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6" w15:restartNumberingAfterBreak="0">
    <w:nsid w:val="68415772"/>
    <w:multiLevelType w:val="hybridMultilevel"/>
    <w:tmpl w:val="0048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028A9"/>
    <w:multiLevelType w:val="hybridMultilevel"/>
    <w:tmpl w:val="1690FD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D8D0B0C"/>
    <w:multiLevelType w:val="hybridMultilevel"/>
    <w:tmpl w:val="DBD6208A"/>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9" w15:restartNumberingAfterBreak="0">
    <w:nsid w:val="6DED5C19"/>
    <w:multiLevelType w:val="hybridMultilevel"/>
    <w:tmpl w:val="8196E3F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E1F591A"/>
    <w:multiLevelType w:val="multilevel"/>
    <w:tmpl w:val="194E111A"/>
    <w:lvl w:ilvl="0">
      <w:start w:val="1"/>
      <w:numFmt w:val="decimal"/>
      <w:lvlText w:val="%1"/>
      <w:lvlJc w:val="left"/>
      <w:pPr>
        <w:ind w:left="480" w:hanging="480"/>
      </w:pPr>
      <w:rPr>
        <w:rFonts w:hint="default"/>
        <w:u w:val="single"/>
      </w:rPr>
    </w:lvl>
    <w:lvl w:ilvl="1">
      <w:start w:val="11"/>
      <w:numFmt w:val="decimal"/>
      <w:lvlText w:val="%1.%2"/>
      <w:lvlJc w:val="left"/>
      <w:pPr>
        <w:ind w:left="660" w:hanging="480"/>
      </w:pPr>
      <w:rPr>
        <w:rFonts w:hint="default"/>
        <w:u w:val="none"/>
      </w:rPr>
    </w:lvl>
    <w:lvl w:ilvl="2">
      <w:start w:val="2"/>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single"/>
      </w:rPr>
    </w:lvl>
    <w:lvl w:ilvl="4">
      <w:start w:val="1"/>
      <w:numFmt w:val="decimal"/>
      <w:lvlText w:val="%1.%2.%3.%4.%5"/>
      <w:lvlJc w:val="left"/>
      <w:pPr>
        <w:ind w:left="1800" w:hanging="1080"/>
      </w:pPr>
      <w:rPr>
        <w:rFonts w:hint="default"/>
        <w:u w:val="single"/>
      </w:rPr>
    </w:lvl>
    <w:lvl w:ilvl="5">
      <w:start w:val="1"/>
      <w:numFmt w:val="decimal"/>
      <w:lvlText w:val="%1.%2.%3.%4.%5.%6"/>
      <w:lvlJc w:val="left"/>
      <w:pPr>
        <w:ind w:left="1980" w:hanging="1080"/>
      </w:pPr>
      <w:rPr>
        <w:rFonts w:hint="default"/>
        <w:u w:val="single"/>
      </w:rPr>
    </w:lvl>
    <w:lvl w:ilvl="6">
      <w:start w:val="1"/>
      <w:numFmt w:val="decimal"/>
      <w:lvlText w:val="%1.%2.%3.%4.%5.%6.%7"/>
      <w:lvlJc w:val="left"/>
      <w:pPr>
        <w:ind w:left="2520" w:hanging="1440"/>
      </w:pPr>
      <w:rPr>
        <w:rFonts w:hint="default"/>
        <w:u w:val="single"/>
      </w:rPr>
    </w:lvl>
    <w:lvl w:ilvl="7">
      <w:start w:val="1"/>
      <w:numFmt w:val="decimal"/>
      <w:lvlText w:val="%1.%2.%3.%4.%5.%6.%7.%8"/>
      <w:lvlJc w:val="left"/>
      <w:pPr>
        <w:ind w:left="2700" w:hanging="1440"/>
      </w:pPr>
      <w:rPr>
        <w:rFonts w:hint="default"/>
        <w:u w:val="single"/>
      </w:rPr>
    </w:lvl>
    <w:lvl w:ilvl="8">
      <w:start w:val="1"/>
      <w:numFmt w:val="decimal"/>
      <w:lvlText w:val="%1.%2.%3.%4.%5.%6.%7.%8.%9"/>
      <w:lvlJc w:val="left"/>
      <w:pPr>
        <w:ind w:left="3240" w:hanging="1800"/>
      </w:pPr>
      <w:rPr>
        <w:rFonts w:hint="default"/>
        <w:u w:val="single"/>
      </w:rPr>
    </w:lvl>
  </w:abstractNum>
  <w:abstractNum w:abstractNumId="41" w15:restartNumberingAfterBreak="0">
    <w:nsid w:val="71342D75"/>
    <w:multiLevelType w:val="hybridMultilevel"/>
    <w:tmpl w:val="16D40EF6"/>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42" w15:restartNumberingAfterBreak="0">
    <w:nsid w:val="714E0031"/>
    <w:multiLevelType w:val="hybridMultilevel"/>
    <w:tmpl w:val="EA405EB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3C524D9"/>
    <w:multiLevelType w:val="multilevel"/>
    <w:tmpl w:val="42B2308A"/>
    <w:lvl w:ilvl="0">
      <w:start w:val="1"/>
      <w:numFmt w:val="decimal"/>
      <w:lvlText w:val="%1"/>
      <w:lvlJc w:val="left"/>
      <w:pPr>
        <w:ind w:left="480" w:hanging="480"/>
      </w:pPr>
      <w:rPr>
        <w:rFonts w:hint="default"/>
        <w:u w:val="single"/>
      </w:rPr>
    </w:lvl>
    <w:lvl w:ilvl="1">
      <w:start w:val="12"/>
      <w:numFmt w:val="decimal"/>
      <w:lvlText w:val="%1.%2"/>
      <w:lvlJc w:val="left"/>
      <w:pPr>
        <w:ind w:left="660" w:hanging="480"/>
      </w:pPr>
      <w:rPr>
        <w:rFonts w:hint="default"/>
        <w:u w:val="none"/>
      </w:rPr>
    </w:lvl>
    <w:lvl w:ilvl="2">
      <w:start w:val="2"/>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single"/>
      </w:rPr>
    </w:lvl>
    <w:lvl w:ilvl="4">
      <w:start w:val="1"/>
      <w:numFmt w:val="decimal"/>
      <w:lvlText w:val="%1.%2.%3.%4.%5"/>
      <w:lvlJc w:val="left"/>
      <w:pPr>
        <w:ind w:left="1800" w:hanging="1080"/>
      </w:pPr>
      <w:rPr>
        <w:rFonts w:hint="default"/>
        <w:u w:val="single"/>
      </w:rPr>
    </w:lvl>
    <w:lvl w:ilvl="5">
      <w:start w:val="1"/>
      <w:numFmt w:val="decimal"/>
      <w:lvlText w:val="%1.%2.%3.%4.%5.%6"/>
      <w:lvlJc w:val="left"/>
      <w:pPr>
        <w:ind w:left="1980" w:hanging="1080"/>
      </w:pPr>
      <w:rPr>
        <w:rFonts w:hint="default"/>
        <w:u w:val="single"/>
      </w:rPr>
    </w:lvl>
    <w:lvl w:ilvl="6">
      <w:start w:val="1"/>
      <w:numFmt w:val="decimal"/>
      <w:lvlText w:val="%1.%2.%3.%4.%5.%6.%7"/>
      <w:lvlJc w:val="left"/>
      <w:pPr>
        <w:ind w:left="2520" w:hanging="1440"/>
      </w:pPr>
      <w:rPr>
        <w:rFonts w:hint="default"/>
        <w:u w:val="single"/>
      </w:rPr>
    </w:lvl>
    <w:lvl w:ilvl="7">
      <w:start w:val="1"/>
      <w:numFmt w:val="decimal"/>
      <w:lvlText w:val="%1.%2.%3.%4.%5.%6.%7.%8"/>
      <w:lvlJc w:val="left"/>
      <w:pPr>
        <w:ind w:left="2700" w:hanging="1440"/>
      </w:pPr>
      <w:rPr>
        <w:rFonts w:hint="default"/>
        <w:u w:val="single"/>
      </w:rPr>
    </w:lvl>
    <w:lvl w:ilvl="8">
      <w:start w:val="1"/>
      <w:numFmt w:val="decimal"/>
      <w:lvlText w:val="%1.%2.%3.%4.%5.%6.%7.%8.%9"/>
      <w:lvlJc w:val="left"/>
      <w:pPr>
        <w:ind w:left="3240" w:hanging="1800"/>
      </w:pPr>
      <w:rPr>
        <w:rFonts w:hint="default"/>
        <w:u w:val="single"/>
      </w:rPr>
    </w:lvl>
  </w:abstractNum>
  <w:abstractNum w:abstractNumId="44" w15:restartNumberingAfterBreak="0">
    <w:nsid w:val="7DF43EF6"/>
    <w:multiLevelType w:val="hybridMultilevel"/>
    <w:tmpl w:val="4CACC7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2828858">
    <w:abstractNumId w:val="36"/>
  </w:num>
  <w:num w:numId="2" w16cid:durableId="347101605">
    <w:abstractNumId w:val="28"/>
  </w:num>
  <w:num w:numId="3" w16cid:durableId="1536650228">
    <w:abstractNumId w:val="32"/>
  </w:num>
  <w:num w:numId="4" w16cid:durableId="124782811">
    <w:abstractNumId w:val="24"/>
  </w:num>
  <w:num w:numId="5" w16cid:durableId="841046603">
    <w:abstractNumId w:val="44"/>
  </w:num>
  <w:num w:numId="6" w16cid:durableId="1017386306">
    <w:abstractNumId w:val="2"/>
  </w:num>
  <w:num w:numId="7" w16cid:durableId="1997949569">
    <w:abstractNumId w:val="29"/>
  </w:num>
  <w:num w:numId="8" w16cid:durableId="1721900075">
    <w:abstractNumId w:val="34"/>
  </w:num>
  <w:num w:numId="9" w16cid:durableId="460733844">
    <w:abstractNumId w:val="5"/>
  </w:num>
  <w:num w:numId="10" w16cid:durableId="827789213">
    <w:abstractNumId w:val="22"/>
  </w:num>
  <w:num w:numId="11" w16cid:durableId="1479884519">
    <w:abstractNumId w:val="30"/>
  </w:num>
  <w:num w:numId="12" w16cid:durableId="1115637085">
    <w:abstractNumId w:val="0"/>
  </w:num>
  <w:num w:numId="13" w16cid:durableId="487358127">
    <w:abstractNumId w:val="10"/>
  </w:num>
  <w:num w:numId="14" w16cid:durableId="2098474647">
    <w:abstractNumId w:val="37"/>
  </w:num>
  <w:num w:numId="15" w16cid:durableId="1514875960">
    <w:abstractNumId w:val="42"/>
  </w:num>
  <w:num w:numId="16" w16cid:durableId="1917856425">
    <w:abstractNumId w:val="25"/>
  </w:num>
  <w:num w:numId="17" w16cid:durableId="1439763786">
    <w:abstractNumId w:val="13"/>
  </w:num>
  <w:num w:numId="18" w16cid:durableId="999308899">
    <w:abstractNumId w:val="4"/>
  </w:num>
  <w:num w:numId="19" w16cid:durableId="1356153006">
    <w:abstractNumId w:val="33"/>
  </w:num>
  <w:num w:numId="20" w16cid:durableId="1784378406">
    <w:abstractNumId w:val="8"/>
  </w:num>
  <w:num w:numId="21" w16cid:durableId="1814440845">
    <w:abstractNumId w:val="15"/>
  </w:num>
  <w:num w:numId="22" w16cid:durableId="1305694945">
    <w:abstractNumId w:val="17"/>
  </w:num>
  <w:num w:numId="23" w16cid:durableId="719211825">
    <w:abstractNumId w:val="7"/>
  </w:num>
  <w:num w:numId="24" w16cid:durableId="846553539">
    <w:abstractNumId w:val="20"/>
  </w:num>
  <w:num w:numId="25" w16cid:durableId="2141071766">
    <w:abstractNumId w:val="12"/>
  </w:num>
  <w:num w:numId="26" w16cid:durableId="832261808">
    <w:abstractNumId w:val="9"/>
  </w:num>
  <w:num w:numId="27" w16cid:durableId="918909898">
    <w:abstractNumId w:val="11"/>
  </w:num>
  <w:num w:numId="28" w16cid:durableId="1509518053">
    <w:abstractNumId w:val="19"/>
  </w:num>
  <w:num w:numId="29" w16cid:durableId="1225407167">
    <w:abstractNumId w:val="40"/>
  </w:num>
  <w:num w:numId="30" w16cid:durableId="5984585">
    <w:abstractNumId w:val="43"/>
  </w:num>
  <w:num w:numId="31" w16cid:durableId="1360856102">
    <w:abstractNumId w:val="21"/>
  </w:num>
  <w:num w:numId="32" w16cid:durableId="731006076">
    <w:abstractNumId w:val="23"/>
  </w:num>
  <w:num w:numId="33" w16cid:durableId="1997225235">
    <w:abstractNumId w:val="3"/>
  </w:num>
  <w:num w:numId="34" w16cid:durableId="2065524629">
    <w:abstractNumId w:val="14"/>
  </w:num>
  <w:num w:numId="35" w16cid:durableId="1091271614">
    <w:abstractNumId w:val="6"/>
  </w:num>
  <w:num w:numId="36" w16cid:durableId="1699500806">
    <w:abstractNumId w:val="27"/>
  </w:num>
  <w:num w:numId="37" w16cid:durableId="966664149">
    <w:abstractNumId w:val="38"/>
  </w:num>
  <w:num w:numId="38" w16cid:durableId="313027757">
    <w:abstractNumId w:val="35"/>
  </w:num>
  <w:num w:numId="39" w16cid:durableId="366222980">
    <w:abstractNumId w:val="41"/>
  </w:num>
  <w:num w:numId="40" w16cid:durableId="224683641">
    <w:abstractNumId w:val="39"/>
  </w:num>
  <w:num w:numId="41" w16cid:durableId="1626886310">
    <w:abstractNumId w:val="18"/>
  </w:num>
  <w:num w:numId="42" w16cid:durableId="916136259">
    <w:abstractNumId w:val="16"/>
  </w:num>
  <w:num w:numId="43" w16cid:durableId="541214390">
    <w:abstractNumId w:val="1"/>
  </w:num>
  <w:num w:numId="44" w16cid:durableId="1382242608">
    <w:abstractNumId w:val="31"/>
  </w:num>
  <w:num w:numId="45" w16cid:durableId="2136559202">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2C4"/>
    <w:rsid w:val="000056C7"/>
    <w:rsid w:val="000112BA"/>
    <w:rsid w:val="000112C4"/>
    <w:rsid w:val="00012C06"/>
    <w:rsid w:val="000136F3"/>
    <w:rsid w:val="000148BE"/>
    <w:rsid w:val="00023169"/>
    <w:rsid w:val="00025FC5"/>
    <w:rsid w:val="000302D9"/>
    <w:rsid w:val="000311CF"/>
    <w:rsid w:val="00034996"/>
    <w:rsid w:val="00035760"/>
    <w:rsid w:val="000448A7"/>
    <w:rsid w:val="00047A0D"/>
    <w:rsid w:val="00052CED"/>
    <w:rsid w:val="0005719B"/>
    <w:rsid w:val="00060B3D"/>
    <w:rsid w:val="00060BD8"/>
    <w:rsid w:val="00063552"/>
    <w:rsid w:val="00067299"/>
    <w:rsid w:val="00071E5E"/>
    <w:rsid w:val="00073F02"/>
    <w:rsid w:val="00073F52"/>
    <w:rsid w:val="000810CF"/>
    <w:rsid w:val="00092A9B"/>
    <w:rsid w:val="000934E8"/>
    <w:rsid w:val="000A1BAC"/>
    <w:rsid w:val="000A2232"/>
    <w:rsid w:val="000A3DC2"/>
    <w:rsid w:val="000B00D4"/>
    <w:rsid w:val="000B033B"/>
    <w:rsid w:val="000B4222"/>
    <w:rsid w:val="000B4A69"/>
    <w:rsid w:val="000C077E"/>
    <w:rsid w:val="000C4211"/>
    <w:rsid w:val="000D7ADA"/>
    <w:rsid w:val="000E17E7"/>
    <w:rsid w:val="000E341F"/>
    <w:rsid w:val="000F1819"/>
    <w:rsid w:val="000F3E2F"/>
    <w:rsid w:val="000F40A2"/>
    <w:rsid w:val="000F596F"/>
    <w:rsid w:val="00100C13"/>
    <w:rsid w:val="001049FB"/>
    <w:rsid w:val="00105A02"/>
    <w:rsid w:val="00106354"/>
    <w:rsid w:val="00107575"/>
    <w:rsid w:val="00124D9F"/>
    <w:rsid w:val="0012648C"/>
    <w:rsid w:val="0013067C"/>
    <w:rsid w:val="00130A73"/>
    <w:rsid w:val="00131DEC"/>
    <w:rsid w:val="00134427"/>
    <w:rsid w:val="001345B0"/>
    <w:rsid w:val="00135602"/>
    <w:rsid w:val="00135F54"/>
    <w:rsid w:val="00141A34"/>
    <w:rsid w:val="00147011"/>
    <w:rsid w:val="00151BD3"/>
    <w:rsid w:val="00152912"/>
    <w:rsid w:val="00153FE7"/>
    <w:rsid w:val="00156D7D"/>
    <w:rsid w:val="00156E3B"/>
    <w:rsid w:val="001575A7"/>
    <w:rsid w:val="0015787D"/>
    <w:rsid w:val="001615F1"/>
    <w:rsid w:val="00161621"/>
    <w:rsid w:val="00163A9F"/>
    <w:rsid w:val="00167AC1"/>
    <w:rsid w:val="00172242"/>
    <w:rsid w:val="001804DB"/>
    <w:rsid w:val="001819E3"/>
    <w:rsid w:val="0018626E"/>
    <w:rsid w:val="00191936"/>
    <w:rsid w:val="0019553E"/>
    <w:rsid w:val="0019776A"/>
    <w:rsid w:val="001A113D"/>
    <w:rsid w:val="001A6E1A"/>
    <w:rsid w:val="001B10D5"/>
    <w:rsid w:val="001B6A2F"/>
    <w:rsid w:val="001C1078"/>
    <w:rsid w:val="001C28F1"/>
    <w:rsid w:val="001C3D5C"/>
    <w:rsid w:val="001C4180"/>
    <w:rsid w:val="001D169D"/>
    <w:rsid w:val="001D3ADC"/>
    <w:rsid w:val="001D55C7"/>
    <w:rsid w:val="001D5727"/>
    <w:rsid w:val="001D7EB0"/>
    <w:rsid w:val="001F4177"/>
    <w:rsid w:val="001F57D8"/>
    <w:rsid w:val="00205BF4"/>
    <w:rsid w:val="002127E0"/>
    <w:rsid w:val="00215822"/>
    <w:rsid w:val="00216F89"/>
    <w:rsid w:val="0022228B"/>
    <w:rsid w:val="00223F0D"/>
    <w:rsid w:val="0023020A"/>
    <w:rsid w:val="002324AF"/>
    <w:rsid w:val="00233C40"/>
    <w:rsid w:val="00234C7B"/>
    <w:rsid w:val="00236FED"/>
    <w:rsid w:val="00241D41"/>
    <w:rsid w:val="002429F4"/>
    <w:rsid w:val="002434DA"/>
    <w:rsid w:val="00245678"/>
    <w:rsid w:val="0024607B"/>
    <w:rsid w:val="0024755D"/>
    <w:rsid w:val="0025262A"/>
    <w:rsid w:val="00252E72"/>
    <w:rsid w:val="002541B2"/>
    <w:rsid w:val="002561A6"/>
    <w:rsid w:val="0026092B"/>
    <w:rsid w:val="00261212"/>
    <w:rsid w:val="00262305"/>
    <w:rsid w:val="0027018D"/>
    <w:rsid w:val="00272CA2"/>
    <w:rsid w:val="002775BC"/>
    <w:rsid w:val="00281DFB"/>
    <w:rsid w:val="00284274"/>
    <w:rsid w:val="00287127"/>
    <w:rsid w:val="002872E2"/>
    <w:rsid w:val="00291424"/>
    <w:rsid w:val="00292F67"/>
    <w:rsid w:val="00295814"/>
    <w:rsid w:val="002A38D6"/>
    <w:rsid w:val="002A4070"/>
    <w:rsid w:val="002A5818"/>
    <w:rsid w:val="002B7880"/>
    <w:rsid w:val="002D7858"/>
    <w:rsid w:val="002D78AA"/>
    <w:rsid w:val="002E14CE"/>
    <w:rsid w:val="002E17A4"/>
    <w:rsid w:val="002E68DE"/>
    <w:rsid w:val="002E73B8"/>
    <w:rsid w:val="002E7752"/>
    <w:rsid w:val="002F0693"/>
    <w:rsid w:val="002F06D1"/>
    <w:rsid w:val="002F1F82"/>
    <w:rsid w:val="002F4A3F"/>
    <w:rsid w:val="002F5F7E"/>
    <w:rsid w:val="00301CEF"/>
    <w:rsid w:val="00304C7F"/>
    <w:rsid w:val="003067C6"/>
    <w:rsid w:val="003205C5"/>
    <w:rsid w:val="00323595"/>
    <w:rsid w:val="003259CD"/>
    <w:rsid w:val="00336396"/>
    <w:rsid w:val="00336CC0"/>
    <w:rsid w:val="00340BA8"/>
    <w:rsid w:val="0035127A"/>
    <w:rsid w:val="003640B3"/>
    <w:rsid w:val="00365E01"/>
    <w:rsid w:val="0036607E"/>
    <w:rsid w:val="003663A9"/>
    <w:rsid w:val="00372C63"/>
    <w:rsid w:val="003766C9"/>
    <w:rsid w:val="00382E48"/>
    <w:rsid w:val="003837FF"/>
    <w:rsid w:val="003851BD"/>
    <w:rsid w:val="00385AB0"/>
    <w:rsid w:val="0038666C"/>
    <w:rsid w:val="00386C7B"/>
    <w:rsid w:val="00393527"/>
    <w:rsid w:val="00395000"/>
    <w:rsid w:val="00395A79"/>
    <w:rsid w:val="003A0640"/>
    <w:rsid w:val="003A4AE1"/>
    <w:rsid w:val="003A7146"/>
    <w:rsid w:val="003B4C60"/>
    <w:rsid w:val="003B4C70"/>
    <w:rsid w:val="003B71B9"/>
    <w:rsid w:val="003C1A61"/>
    <w:rsid w:val="003C5058"/>
    <w:rsid w:val="003D3C21"/>
    <w:rsid w:val="003D7B84"/>
    <w:rsid w:val="003E01ED"/>
    <w:rsid w:val="003E385A"/>
    <w:rsid w:val="003E3A4E"/>
    <w:rsid w:val="003E502F"/>
    <w:rsid w:val="003E6773"/>
    <w:rsid w:val="003F0D44"/>
    <w:rsid w:val="003F5CEE"/>
    <w:rsid w:val="004002A1"/>
    <w:rsid w:val="00400A6A"/>
    <w:rsid w:val="00403389"/>
    <w:rsid w:val="00405428"/>
    <w:rsid w:val="00405514"/>
    <w:rsid w:val="00406B4E"/>
    <w:rsid w:val="00410AFD"/>
    <w:rsid w:val="00410F54"/>
    <w:rsid w:val="0041275A"/>
    <w:rsid w:val="00412A70"/>
    <w:rsid w:val="0041684D"/>
    <w:rsid w:val="004208B6"/>
    <w:rsid w:val="00420F84"/>
    <w:rsid w:val="00421DED"/>
    <w:rsid w:val="00422DF9"/>
    <w:rsid w:val="00424183"/>
    <w:rsid w:val="0042527F"/>
    <w:rsid w:val="0043481D"/>
    <w:rsid w:val="00434B4A"/>
    <w:rsid w:val="00440E5D"/>
    <w:rsid w:val="00442603"/>
    <w:rsid w:val="00442ACB"/>
    <w:rsid w:val="00453E0C"/>
    <w:rsid w:val="00454AEE"/>
    <w:rsid w:val="004559BB"/>
    <w:rsid w:val="004653AC"/>
    <w:rsid w:val="004703C3"/>
    <w:rsid w:val="00470657"/>
    <w:rsid w:val="00470704"/>
    <w:rsid w:val="00471233"/>
    <w:rsid w:val="00472DA0"/>
    <w:rsid w:val="0047347D"/>
    <w:rsid w:val="00484CB8"/>
    <w:rsid w:val="00485E20"/>
    <w:rsid w:val="004A409F"/>
    <w:rsid w:val="004A4AA6"/>
    <w:rsid w:val="004B28EF"/>
    <w:rsid w:val="004B5C07"/>
    <w:rsid w:val="004B74BC"/>
    <w:rsid w:val="004C0D09"/>
    <w:rsid w:val="004C1C2B"/>
    <w:rsid w:val="004C3800"/>
    <w:rsid w:val="004C4382"/>
    <w:rsid w:val="004D56A9"/>
    <w:rsid w:val="004D6954"/>
    <w:rsid w:val="004D78BD"/>
    <w:rsid w:val="004E6F53"/>
    <w:rsid w:val="004F3A47"/>
    <w:rsid w:val="004F4464"/>
    <w:rsid w:val="005038B4"/>
    <w:rsid w:val="00504BEC"/>
    <w:rsid w:val="00505246"/>
    <w:rsid w:val="00506BC8"/>
    <w:rsid w:val="00510BCA"/>
    <w:rsid w:val="00522A57"/>
    <w:rsid w:val="00522B80"/>
    <w:rsid w:val="005273C6"/>
    <w:rsid w:val="00531D09"/>
    <w:rsid w:val="00532C71"/>
    <w:rsid w:val="005445C7"/>
    <w:rsid w:val="00545533"/>
    <w:rsid w:val="00545DF5"/>
    <w:rsid w:val="0055073C"/>
    <w:rsid w:val="00550818"/>
    <w:rsid w:val="00554AE5"/>
    <w:rsid w:val="00555B82"/>
    <w:rsid w:val="005561B3"/>
    <w:rsid w:val="00560233"/>
    <w:rsid w:val="0056219B"/>
    <w:rsid w:val="00565D38"/>
    <w:rsid w:val="00570419"/>
    <w:rsid w:val="005708A2"/>
    <w:rsid w:val="00570C67"/>
    <w:rsid w:val="005748EE"/>
    <w:rsid w:val="00585720"/>
    <w:rsid w:val="00597083"/>
    <w:rsid w:val="005A06C3"/>
    <w:rsid w:val="005A650F"/>
    <w:rsid w:val="005A7074"/>
    <w:rsid w:val="005A77FC"/>
    <w:rsid w:val="005B0FFA"/>
    <w:rsid w:val="005C42CF"/>
    <w:rsid w:val="005C556D"/>
    <w:rsid w:val="005C77D2"/>
    <w:rsid w:val="005D007D"/>
    <w:rsid w:val="005D1CF0"/>
    <w:rsid w:val="005D227F"/>
    <w:rsid w:val="005D74EB"/>
    <w:rsid w:val="005E11B9"/>
    <w:rsid w:val="005E52ED"/>
    <w:rsid w:val="005E56A8"/>
    <w:rsid w:val="005E641A"/>
    <w:rsid w:val="005E6555"/>
    <w:rsid w:val="005E6B58"/>
    <w:rsid w:val="005F0942"/>
    <w:rsid w:val="005F13F4"/>
    <w:rsid w:val="005F45F4"/>
    <w:rsid w:val="005F533F"/>
    <w:rsid w:val="005F5FDA"/>
    <w:rsid w:val="00610516"/>
    <w:rsid w:val="00611402"/>
    <w:rsid w:val="006117F6"/>
    <w:rsid w:val="006129FC"/>
    <w:rsid w:val="00616AD1"/>
    <w:rsid w:val="00617573"/>
    <w:rsid w:val="00624F72"/>
    <w:rsid w:val="0062508C"/>
    <w:rsid w:val="006276C0"/>
    <w:rsid w:val="00627D1D"/>
    <w:rsid w:val="00631E0A"/>
    <w:rsid w:val="0063238B"/>
    <w:rsid w:val="00637E31"/>
    <w:rsid w:val="00640A2D"/>
    <w:rsid w:val="0064140D"/>
    <w:rsid w:val="00644902"/>
    <w:rsid w:val="00644ADD"/>
    <w:rsid w:val="00646F27"/>
    <w:rsid w:val="00652F6F"/>
    <w:rsid w:val="00663834"/>
    <w:rsid w:val="00664FB0"/>
    <w:rsid w:val="00673A5F"/>
    <w:rsid w:val="00677D17"/>
    <w:rsid w:val="00682330"/>
    <w:rsid w:val="006825D4"/>
    <w:rsid w:val="00682823"/>
    <w:rsid w:val="006937A0"/>
    <w:rsid w:val="0069731D"/>
    <w:rsid w:val="006A01A7"/>
    <w:rsid w:val="006A244B"/>
    <w:rsid w:val="006A4D33"/>
    <w:rsid w:val="006A68B3"/>
    <w:rsid w:val="006A6A00"/>
    <w:rsid w:val="006A7CE5"/>
    <w:rsid w:val="006B731E"/>
    <w:rsid w:val="006D4C42"/>
    <w:rsid w:val="006D6BB7"/>
    <w:rsid w:val="006E1549"/>
    <w:rsid w:val="006E61BE"/>
    <w:rsid w:val="006E76FB"/>
    <w:rsid w:val="006F5023"/>
    <w:rsid w:val="006F504E"/>
    <w:rsid w:val="007009F3"/>
    <w:rsid w:val="00707FE2"/>
    <w:rsid w:val="00716D7B"/>
    <w:rsid w:val="00720174"/>
    <w:rsid w:val="007231A4"/>
    <w:rsid w:val="00727D3F"/>
    <w:rsid w:val="00731DE2"/>
    <w:rsid w:val="00731FF2"/>
    <w:rsid w:val="0073301B"/>
    <w:rsid w:val="00734B28"/>
    <w:rsid w:val="007353A9"/>
    <w:rsid w:val="00742970"/>
    <w:rsid w:val="007433F0"/>
    <w:rsid w:val="00743A28"/>
    <w:rsid w:val="00746F72"/>
    <w:rsid w:val="00750F34"/>
    <w:rsid w:val="00751F28"/>
    <w:rsid w:val="00753047"/>
    <w:rsid w:val="007540E1"/>
    <w:rsid w:val="00756FC0"/>
    <w:rsid w:val="0076045E"/>
    <w:rsid w:val="00760834"/>
    <w:rsid w:val="0077161A"/>
    <w:rsid w:val="0078191D"/>
    <w:rsid w:val="00791C4F"/>
    <w:rsid w:val="00791DB4"/>
    <w:rsid w:val="0079701D"/>
    <w:rsid w:val="007A0647"/>
    <w:rsid w:val="007B2F9D"/>
    <w:rsid w:val="007B6400"/>
    <w:rsid w:val="007C17E5"/>
    <w:rsid w:val="007C27D1"/>
    <w:rsid w:val="007C759B"/>
    <w:rsid w:val="007C7A12"/>
    <w:rsid w:val="007D21CA"/>
    <w:rsid w:val="007D31AF"/>
    <w:rsid w:val="007E151D"/>
    <w:rsid w:val="007E4960"/>
    <w:rsid w:val="007E50D5"/>
    <w:rsid w:val="007E6DD8"/>
    <w:rsid w:val="007E711A"/>
    <w:rsid w:val="007F10E8"/>
    <w:rsid w:val="007F5655"/>
    <w:rsid w:val="007F5F2C"/>
    <w:rsid w:val="00801A6F"/>
    <w:rsid w:val="008033F9"/>
    <w:rsid w:val="0081054E"/>
    <w:rsid w:val="00810E77"/>
    <w:rsid w:val="00811BC1"/>
    <w:rsid w:val="008139CC"/>
    <w:rsid w:val="00820314"/>
    <w:rsid w:val="00823E50"/>
    <w:rsid w:val="008453A0"/>
    <w:rsid w:val="008459F7"/>
    <w:rsid w:val="00846D6B"/>
    <w:rsid w:val="00853BCA"/>
    <w:rsid w:val="0085557F"/>
    <w:rsid w:val="00860587"/>
    <w:rsid w:val="00871CDD"/>
    <w:rsid w:val="008863BB"/>
    <w:rsid w:val="00887258"/>
    <w:rsid w:val="008A4719"/>
    <w:rsid w:val="008A7335"/>
    <w:rsid w:val="008B019B"/>
    <w:rsid w:val="008B3E88"/>
    <w:rsid w:val="008B5030"/>
    <w:rsid w:val="008C0DFE"/>
    <w:rsid w:val="008C5714"/>
    <w:rsid w:val="008D5874"/>
    <w:rsid w:val="008E05C9"/>
    <w:rsid w:val="008E37B7"/>
    <w:rsid w:val="008F0AC7"/>
    <w:rsid w:val="008F1ACB"/>
    <w:rsid w:val="008F2872"/>
    <w:rsid w:val="00906E9B"/>
    <w:rsid w:val="0091090C"/>
    <w:rsid w:val="00912466"/>
    <w:rsid w:val="0091298A"/>
    <w:rsid w:val="00915B05"/>
    <w:rsid w:val="009170C3"/>
    <w:rsid w:val="00917DBB"/>
    <w:rsid w:val="00921AAB"/>
    <w:rsid w:val="009271D6"/>
    <w:rsid w:val="009311AE"/>
    <w:rsid w:val="009324D8"/>
    <w:rsid w:val="0093318D"/>
    <w:rsid w:val="00933A41"/>
    <w:rsid w:val="00943477"/>
    <w:rsid w:val="00943947"/>
    <w:rsid w:val="00943EE1"/>
    <w:rsid w:val="00950E18"/>
    <w:rsid w:val="0095302C"/>
    <w:rsid w:val="00953620"/>
    <w:rsid w:val="00955B8C"/>
    <w:rsid w:val="009571A7"/>
    <w:rsid w:val="00972C86"/>
    <w:rsid w:val="0097320E"/>
    <w:rsid w:val="00973864"/>
    <w:rsid w:val="00986CB2"/>
    <w:rsid w:val="0099119B"/>
    <w:rsid w:val="00991D4F"/>
    <w:rsid w:val="009924EC"/>
    <w:rsid w:val="0099679A"/>
    <w:rsid w:val="00996AE6"/>
    <w:rsid w:val="009A2F9B"/>
    <w:rsid w:val="009A3539"/>
    <w:rsid w:val="009C0A99"/>
    <w:rsid w:val="009C134A"/>
    <w:rsid w:val="009D0FEF"/>
    <w:rsid w:val="009D3E04"/>
    <w:rsid w:val="009D4B34"/>
    <w:rsid w:val="009E36C5"/>
    <w:rsid w:val="009E7D4E"/>
    <w:rsid w:val="009E7DA8"/>
    <w:rsid w:val="009F2D3F"/>
    <w:rsid w:val="00A0553F"/>
    <w:rsid w:val="00A1128B"/>
    <w:rsid w:val="00A139CB"/>
    <w:rsid w:val="00A13BBD"/>
    <w:rsid w:val="00A15881"/>
    <w:rsid w:val="00A15BA4"/>
    <w:rsid w:val="00A20DA7"/>
    <w:rsid w:val="00A23F53"/>
    <w:rsid w:val="00A25436"/>
    <w:rsid w:val="00A27B33"/>
    <w:rsid w:val="00A3169E"/>
    <w:rsid w:val="00A31795"/>
    <w:rsid w:val="00A31AA5"/>
    <w:rsid w:val="00A327F6"/>
    <w:rsid w:val="00A4121C"/>
    <w:rsid w:val="00A42E3B"/>
    <w:rsid w:val="00A44D6D"/>
    <w:rsid w:val="00A4617D"/>
    <w:rsid w:val="00A57167"/>
    <w:rsid w:val="00A614DA"/>
    <w:rsid w:val="00A6335D"/>
    <w:rsid w:val="00A63552"/>
    <w:rsid w:val="00A64927"/>
    <w:rsid w:val="00A66CC4"/>
    <w:rsid w:val="00A706E1"/>
    <w:rsid w:val="00A7171F"/>
    <w:rsid w:val="00A72C54"/>
    <w:rsid w:val="00A72CB2"/>
    <w:rsid w:val="00A75117"/>
    <w:rsid w:val="00A7519C"/>
    <w:rsid w:val="00A75D09"/>
    <w:rsid w:val="00A82267"/>
    <w:rsid w:val="00A83495"/>
    <w:rsid w:val="00A8571C"/>
    <w:rsid w:val="00A85B64"/>
    <w:rsid w:val="00A87486"/>
    <w:rsid w:val="00A92926"/>
    <w:rsid w:val="00A95B60"/>
    <w:rsid w:val="00A9694E"/>
    <w:rsid w:val="00A97AEA"/>
    <w:rsid w:val="00AA5B2D"/>
    <w:rsid w:val="00AC109B"/>
    <w:rsid w:val="00AC35C2"/>
    <w:rsid w:val="00AC6862"/>
    <w:rsid w:val="00AC7229"/>
    <w:rsid w:val="00AC7711"/>
    <w:rsid w:val="00AD106D"/>
    <w:rsid w:val="00AD3BBA"/>
    <w:rsid w:val="00AD5A30"/>
    <w:rsid w:val="00AD7707"/>
    <w:rsid w:val="00AF574B"/>
    <w:rsid w:val="00AF68F2"/>
    <w:rsid w:val="00B02ADF"/>
    <w:rsid w:val="00B065B1"/>
    <w:rsid w:val="00B11B91"/>
    <w:rsid w:val="00B11FCC"/>
    <w:rsid w:val="00B15218"/>
    <w:rsid w:val="00B20DFF"/>
    <w:rsid w:val="00B2229D"/>
    <w:rsid w:val="00B232C3"/>
    <w:rsid w:val="00B33728"/>
    <w:rsid w:val="00B36071"/>
    <w:rsid w:val="00B42C7C"/>
    <w:rsid w:val="00B46F8E"/>
    <w:rsid w:val="00B51B8D"/>
    <w:rsid w:val="00B52D75"/>
    <w:rsid w:val="00B538AD"/>
    <w:rsid w:val="00B55E39"/>
    <w:rsid w:val="00B60EA5"/>
    <w:rsid w:val="00B62E7E"/>
    <w:rsid w:val="00B64867"/>
    <w:rsid w:val="00B67473"/>
    <w:rsid w:val="00B766F7"/>
    <w:rsid w:val="00B76B7B"/>
    <w:rsid w:val="00B774FC"/>
    <w:rsid w:val="00B81B7E"/>
    <w:rsid w:val="00B830D8"/>
    <w:rsid w:val="00B861D2"/>
    <w:rsid w:val="00B87F92"/>
    <w:rsid w:val="00B93D88"/>
    <w:rsid w:val="00BA0F29"/>
    <w:rsid w:val="00BA4D8D"/>
    <w:rsid w:val="00BB1FAD"/>
    <w:rsid w:val="00BB359D"/>
    <w:rsid w:val="00BB5F37"/>
    <w:rsid w:val="00BB5FA7"/>
    <w:rsid w:val="00BC469E"/>
    <w:rsid w:val="00BC5403"/>
    <w:rsid w:val="00BD2E56"/>
    <w:rsid w:val="00BD5EE6"/>
    <w:rsid w:val="00BD6EF6"/>
    <w:rsid w:val="00BD6FBD"/>
    <w:rsid w:val="00BE0899"/>
    <w:rsid w:val="00BE566C"/>
    <w:rsid w:val="00BE5862"/>
    <w:rsid w:val="00BF1321"/>
    <w:rsid w:val="00BF287A"/>
    <w:rsid w:val="00BF2B02"/>
    <w:rsid w:val="00C001F8"/>
    <w:rsid w:val="00C005F4"/>
    <w:rsid w:val="00C00C38"/>
    <w:rsid w:val="00C02EF6"/>
    <w:rsid w:val="00C11E12"/>
    <w:rsid w:val="00C12246"/>
    <w:rsid w:val="00C129FA"/>
    <w:rsid w:val="00C159E6"/>
    <w:rsid w:val="00C15EAD"/>
    <w:rsid w:val="00C17070"/>
    <w:rsid w:val="00C24882"/>
    <w:rsid w:val="00C35152"/>
    <w:rsid w:val="00C359F7"/>
    <w:rsid w:val="00C416F2"/>
    <w:rsid w:val="00C42BFF"/>
    <w:rsid w:val="00C44C5E"/>
    <w:rsid w:val="00C50715"/>
    <w:rsid w:val="00C50ACD"/>
    <w:rsid w:val="00C54C0E"/>
    <w:rsid w:val="00C55BBE"/>
    <w:rsid w:val="00C57344"/>
    <w:rsid w:val="00C60A91"/>
    <w:rsid w:val="00C613A3"/>
    <w:rsid w:val="00C649C8"/>
    <w:rsid w:val="00C64F45"/>
    <w:rsid w:val="00C67CC2"/>
    <w:rsid w:val="00C70915"/>
    <w:rsid w:val="00C71925"/>
    <w:rsid w:val="00C736A8"/>
    <w:rsid w:val="00C76B6D"/>
    <w:rsid w:val="00C83027"/>
    <w:rsid w:val="00C8544E"/>
    <w:rsid w:val="00C86962"/>
    <w:rsid w:val="00C87ED4"/>
    <w:rsid w:val="00C90492"/>
    <w:rsid w:val="00C907F5"/>
    <w:rsid w:val="00C91FEE"/>
    <w:rsid w:val="00C96955"/>
    <w:rsid w:val="00CA5E42"/>
    <w:rsid w:val="00CC00FC"/>
    <w:rsid w:val="00CC0A87"/>
    <w:rsid w:val="00CC4F5A"/>
    <w:rsid w:val="00CC6073"/>
    <w:rsid w:val="00CC61F5"/>
    <w:rsid w:val="00CC76C6"/>
    <w:rsid w:val="00CD353B"/>
    <w:rsid w:val="00CD49BF"/>
    <w:rsid w:val="00CD617D"/>
    <w:rsid w:val="00CD7403"/>
    <w:rsid w:val="00CE0879"/>
    <w:rsid w:val="00CE217A"/>
    <w:rsid w:val="00CF2486"/>
    <w:rsid w:val="00CF3623"/>
    <w:rsid w:val="00CF37F8"/>
    <w:rsid w:val="00CF4BF1"/>
    <w:rsid w:val="00CF739A"/>
    <w:rsid w:val="00D01E45"/>
    <w:rsid w:val="00D03FC2"/>
    <w:rsid w:val="00D05783"/>
    <w:rsid w:val="00D102D5"/>
    <w:rsid w:val="00D16E4E"/>
    <w:rsid w:val="00D23478"/>
    <w:rsid w:val="00D25A00"/>
    <w:rsid w:val="00D2660E"/>
    <w:rsid w:val="00D26F1F"/>
    <w:rsid w:val="00D31EA5"/>
    <w:rsid w:val="00D34DB6"/>
    <w:rsid w:val="00D40C54"/>
    <w:rsid w:val="00D4387E"/>
    <w:rsid w:val="00D43D52"/>
    <w:rsid w:val="00D50BBB"/>
    <w:rsid w:val="00D513C6"/>
    <w:rsid w:val="00D544D8"/>
    <w:rsid w:val="00D64614"/>
    <w:rsid w:val="00D66398"/>
    <w:rsid w:val="00D710F7"/>
    <w:rsid w:val="00D81C43"/>
    <w:rsid w:val="00D82014"/>
    <w:rsid w:val="00D82117"/>
    <w:rsid w:val="00D845E9"/>
    <w:rsid w:val="00D879AA"/>
    <w:rsid w:val="00D91309"/>
    <w:rsid w:val="00D92022"/>
    <w:rsid w:val="00D9288D"/>
    <w:rsid w:val="00D929D7"/>
    <w:rsid w:val="00D96785"/>
    <w:rsid w:val="00DA0868"/>
    <w:rsid w:val="00DB0BF7"/>
    <w:rsid w:val="00DB317D"/>
    <w:rsid w:val="00DB7C66"/>
    <w:rsid w:val="00DC1F89"/>
    <w:rsid w:val="00DC226B"/>
    <w:rsid w:val="00DC32BF"/>
    <w:rsid w:val="00DC364B"/>
    <w:rsid w:val="00DE5BDE"/>
    <w:rsid w:val="00DF5917"/>
    <w:rsid w:val="00DF5C19"/>
    <w:rsid w:val="00DF7FB2"/>
    <w:rsid w:val="00E01D79"/>
    <w:rsid w:val="00E0768A"/>
    <w:rsid w:val="00E07AD9"/>
    <w:rsid w:val="00E1637C"/>
    <w:rsid w:val="00E175D9"/>
    <w:rsid w:val="00E23E34"/>
    <w:rsid w:val="00E27303"/>
    <w:rsid w:val="00E31E1F"/>
    <w:rsid w:val="00E32E05"/>
    <w:rsid w:val="00E33475"/>
    <w:rsid w:val="00E34424"/>
    <w:rsid w:val="00E34B99"/>
    <w:rsid w:val="00E363FB"/>
    <w:rsid w:val="00E43641"/>
    <w:rsid w:val="00E45BC5"/>
    <w:rsid w:val="00E47D5E"/>
    <w:rsid w:val="00E47F0E"/>
    <w:rsid w:val="00E504AB"/>
    <w:rsid w:val="00E53BCF"/>
    <w:rsid w:val="00E5520E"/>
    <w:rsid w:val="00E56061"/>
    <w:rsid w:val="00E60D0F"/>
    <w:rsid w:val="00E61914"/>
    <w:rsid w:val="00E66CBD"/>
    <w:rsid w:val="00E67B74"/>
    <w:rsid w:val="00E71B4A"/>
    <w:rsid w:val="00E728BF"/>
    <w:rsid w:val="00E72B1A"/>
    <w:rsid w:val="00E745D9"/>
    <w:rsid w:val="00E77A30"/>
    <w:rsid w:val="00E86963"/>
    <w:rsid w:val="00E90A19"/>
    <w:rsid w:val="00E91E72"/>
    <w:rsid w:val="00E926C1"/>
    <w:rsid w:val="00E93DA0"/>
    <w:rsid w:val="00E9447A"/>
    <w:rsid w:val="00E9696F"/>
    <w:rsid w:val="00E969C4"/>
    <w:rsid w:val="00EA16AF"/>
    <w:rsid w:val="00EA24E6"/>
    <w:rsid w:val="00EA6017"/>
    <w:rsid w:val="00EB327D"/>
    <w:rsid w:val="00EB77CF"/>
    <w:rsid w:val="00EC55D0"/>
    <w:rsid w:val="00ED1490"/>
    <w:rsid w:val="00ED46F7"/>
    <w:rsid w:val="00ED7BEB"/>
    <w:rsid w:val="00EE030A"/>
    <w:rsid w:val="00EE0B5F"/>
    <w:rsid w:val="00EE1806"/>
    <w:rsid w:val="00EE54D4"/>
    <w:rsid w:val="00EF10C2"/>
    <w:rsid w:val="00EF1639"/>
    <w:rsid w:val="00EF45AB"/>
    <w:rsid w:val="00EF5358"/>
    <w:rsid w:val="00EF79F3"/>
    <w:rsid w:val="00EF7D57"/>
    <w:rsid w:val="00F0364E"/>
    <w:rsid w:val="00F05BCC"/>
    <w:rsid w:val="00F06557"/>
    <w:rsid w:val="00F125C0"/>
    <w:rsid w:val="00F13705"/>
    <w:rsid w:val="00F15E9F"/>
    <w:rsid w:val="00F2566D"/>
    <w:rsid w:val="00F25FB3"/>
    <w:rsid w:val="00F275BE"/>
    <w:rsid w:val="00F32A94"/>
    <w:rsid w:val="00F33239"/>
    <w:rsid w:val="00F36564"/>
    <w:rsid w:val="00F47115"/>
    <w:rsid w:val="00F47486"/>
    <w:rsid w:val="00F517F8"/>
    <w:rsid w:val="00F51B2B"/>
    <w:rsid w:val="00F6232A"/>
    <w:rsid w:val="00F63EDD"/>
    <w:rsid w:val="00F718E8"/>
    <w:rsid w:val="00F7542F"/>
    <w:rsid w:val="00F758BA"/>
    <w:rsid w:val="00F7746C"/>
    <w:rsid w:val="00F82571"/>
    <w:rsid w:val="00F87801"/>
    <w:rsid w:val="00F87EC8"/>
    <w:rsid w:val="00F91986"/>
    <w:rsid w:val="00F947DB"/>
    <w:rsid w:val="00F94D01"/>
    <w:rsid w:val="00F9643D"/>
    <w:rsid w:val="00FA20F8"/>
    <w:rsid w:val="00FA23A5"/>
    <w:rsid w:val="00FA572C"/>
    <w:rsid w:val="00FA5C88"/>
    <w:rsid w:val="00FA7E32"/>
    <w:rsid w:val="00FB58ED"/>
    <w:rsid w:val="00FC04D3"/>
    <w:rsid w:val="00FC5026"/>
    <w:rsid w:val="00FD1077"/>
    <w:rsid w:val="00FD11B6"/>
    <w:rsid w:val="00FD30C8"/>
    <w:rsid w:val="00FD3DAA"/>
    <w:rsid w:val="00FD5942"/>
    <w:rsid w:val="00FE5CE8"/>
    <w:rsid w:val="00FF0B09"/>
    <w:rsid w:val="00FF2981"/>
    <w:rsid w:val="00FF36F2"/>
    <w:rsid w:val="00FF4A33"/>
    <w:rsid w:val="00FF67D3"/>
    <w:rsid w:val="00FF7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85634"/>
  <w15:docId w15:val="{7E496C88-11A6-46A6-A2D2-947A64A9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2C4"/>
    <w:pPr>
      <w:spacing w:after="0" w:line="240" w:lineRule="auto"/>
    </w:pPr>
  </w:style>
  <w:style w:type="paragraph" w:styleId="Heading2">
    <w:name w:val="heading 2"/>
    <w:basedOn w:val="Normal"/>
    <w:link w:val="Heading2Char"/>
    <w:uiPriority w:val="9"/>
    <w:qFormat/>
    <w:rsid w:val="000C421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3C4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12C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63A9F"/>
    <w:rPr>
      <w:color w:val="0000FF" w:themeColor="hyperlink"/>
      <w:u w:val="single"/>
    </w:rPr>
  </w:style>
  <w:style w:type="paragraph" w:styleId="Header">
    <w:name w:val="header"/>
    <w:basedOn w:val="Normal"/>
    <w:link w:val="HeaderChar"/>
    <w:uiPriority w:val="99"/>
    <w:unhideWhenUsed/>
    <w:rsid w:val="004C4382"/>
    <w:pPr>
      <w:tabs>
        <w:tab w:val="center" w:pos="4680"/>
        <w:tab w:val="right" w:pos="9360"/>
      </w:tabs>
    </w:pPr>
  </w:style>
  <w:style w:type="character" w:customStyle="1" w:styleId="HeaderChar">
    <w:name w:val="Header Char"/>
    <w:basedOn w:val="DefaultParagraphFont"/>
    <w:link w:val="Header"/>
    <w:uiPriority w:val="99"/>
    <w:rsid w:val="004C4382"/>
  </w:style>
  <w:style w:type="paragraph" w:styleId="Footer">
    <w:name w:val="footer"/>
    <w:basedOn w:val="Normal"/>
    <w:link w:val="FooterChar"/>
    <w:uiPriority w:val="99"/>
    <w:unhideWhenUsed/>
    <w:rsid w:val="004C4382"/>
    <w:pPr>
      <w:tabs>
        <w:tab w:val="center" w:pos="4680"/>
        <w:tab w:val="right" w:pos="9360"/>
      </w:tabs>
    </w:pPr>
  </w:style>
  <w:style w:type="character" w:customStyle="1" w:styleId="FooterChar">
    <w:name w:val="Footer Char"/>
    <w:basedOn w:val="DefaultParagraphFont"/>
    <w:link w:val="Footer"/>
    <w:uiPriority w:val="99"/>
    <w:rsid w:val="004C4382"/>
  </w:style>
  <w:style w:type="paragraph" w:styleId="ListParagraph">
    <w:name w:val="List Paragraph"/>
    <w:basedOn w:val="Normal"/>
    <w:uiPriority w:val="34"/>
    <w:qFormat/>
    <w:rsid w:val="00D513C6"/>
    <w:pPr>
      <w:ind w:left="720"/>
      <w:contextualSpacing/>
    </w:pPr>
  </w:style>
  <w:style w:type="character" w:styleId="FollowedHyperlink">
    <w:name w:val="FollowedHyperlink"/>
    <w:basedOn w:val="DefaultParagraphFont"/>
    <w:uiPriority w:val="99"/>
    <w:semiHidden/>
    <w:unhideWhenUsed/>
    <w:rsid w:val="00FF36F2"/>
    <w:rPr>
      <w:color w:val="800080" w:themeColor="followedHyperlink"/>
      <w:u w:val="single"/>
    </w:rPr>
  </w:style>
  <w:style w:type="paragraph" w:customStyle="1" w:styleId="scjnumber">
    <w:name w:val="scjnumber"/>
    <w:basedOn w:val="Normal"/>
    <w:rsid w:val="00FF36F2"/>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147011"/>
    <w:pPr>
      <w:spacing w:before="100" w:beforeAutospacing="1" w:after="100" w:afterAutospacing="1"/>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147011"/>
    <w:rPr>
      <w:b/>
      <w:bCs/>
    </w:rPr>
  </w:style>
  <w:style w:type="character" w:customStyle="1" w:styleId="apple-converted-space">
    <w:name w:val="apple-converted-space"/>
    <w:basedOn w:val="DefaultParagraphFont"/>
    <w:rsid w:val="00147011"/>
  </w:style>
  <w:style w:type="paragraph" w:styleId="Title">
    <w:name w:val="Title"/>
    <w:basedOn w:val="Normal"/>
    <w:link w:val="TitleChar"/>
    <w:uiPriority w:val="99"/>
    <w:qFormat/>
    <w:rsid w:val="00677D17"/>
    <w:pPr>
      <w:ind w:right="-720"/>
      <w:jc w:val="center"/>
    </w:pPr>
    <w:rPr>
      <w:rFonts w:ascii="Arial" w:eastAsia="Times New Roman" w:hAnsi="Arial" w:cs="Arial"/>
      <w:b/>
      <w:sz w:val="36"/>
      <w:szCs w:val="20"/>
    </w:rPr>
  </w:style>
  <w:style w:type="character" w:customStyle="1" w:styleId="TitleChar">
    <w:name w:val="Title Char"/>
    <w:basedOn w:val="DefaultParagraphFont"/>
    <w:link w:val="Title"/>
    <w:uiPriority w:val="99"/>
    <w:rsid w:val="00677D17"/>
    <w:rPr>
      <w:rFonts w:ascii="Arial" w:eastAsia="Times New Roman" w:hAnsi="Arial" w:cs="Arial"/>
      <w:b/>
      <w:sz w:val="36"/>
      <w:szCs w:val="20"/>
    </w:rPr>
  </w:style>
  <w:style w:type="table" w:styleId="TableGrid">
    <w:name w:val="Table Grid"/>
    <w:basedOn w:val="TableNormal"/>
    <w:uiPriority w:val="59"/>
    <w:rsid w:val="00677D17"/>
    <w:pPr>
      <w:spacing w:after="0" w:line="240" w:lineRule="auto"/>
    </w:pPr>
    <w:rPr>
      <w:rFonts w:ascii="Times New Roman" w:eastAsiaTheme="minorEastAsia"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353B"/>
    <w:rPr>
      <w:rFonts w:ascii="Tahoma" w:hAnsi="Tahoma" w:cs="Tahoma"/>
      <w:sz w:val="16"/>
      <w:szCs w:val="16"/>
    </w:rPr>
  </w:style>
  <w:style w:type="character" w:customStyle="1" w:styleId="BalloonTextChar">
    <w:name w:val="Balloon Text Char"/>
    <w:basedOn w:val="DefaultParagraphFont"/>
    <w:link w:val="BalloonText"/>
    <w:uiPriority w:val="99"/>
    <w:semiHidden/>
    <w:rsid w:val="00CD353B"/>
    <w:rPr>
      <w:rFonts w:ascii="Tahoma" w:hAnsi="Tahoma" w:cs="Tahoma"/>
      <w:sz w:val="16"/>
      <w:szCs w:val="16"/>
    </w:rPr>
  </w:style>
  <w:style w:type="character" w:customStyle="1" w:styleId="Heading2Char">
    <w:name w:val="Heading 2 Char"/>
    <w:basedOn w:val="DefaultParagraphFont"/>
    <w:link w:val="Heading2"/>
    <w:uiPriority w:val="9"/>
    <w:rsid w:val="000C4211"/>
    <w:rPr>
      <w:rFonts w:ascii="Times New Roman" w:eastAsia="Times New Roman" w:hAnsi="Times New Roman" w:cs="Times New Roman"/>
      <w:b/>
      <w:bCs/>
      <w:sz w:val="36"/>
      <w:szCs w:val="36"/>
    </w:rPr>
  </w:style>
  <w:style w:type="character" w:customStyle="1" w:styleId="bodytextorange">
    <w:name w:val="bodytextorange"/>
    <w:basedOn w:val="DefaultParagraphFont"/>
    <w:rsid w:val="00AC109B"/>
  </w:style>
  <w:style w:type="character" w:customStyle="1" w:styleId="bodytextblack">
    <w:name w:val="bodytextblack"/>
    <w:basedOn w:val="DefaultParagraphFont"/>
    <w:rsid w:val="00AC109B"/>
  </w:style>
  <w:style w:type="paragraph" w:customStyle="1" w:styleId="c-article-bodytext">
    <w:name w:val="c-article-body__text"/>
    <w:basedOn w:val="Normal"/>
    <w:rsid w:val="00D26F1F"/>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33C40"/>
    <w:rPr>
      <w:i/>
      <w:iCs/>
    </w:rPr>
  </w:style>
  <w:style w:type="character" w:customStyle="1" w:styleId="apple-style-span">
    <w:name w:val="apple-style-span"/>
    <w:basedOn w:val="DefaultParagraphFont"/>
    <w:rsid w:val="00233C40"/>
  </w:style>
  <w:style w:type="character" w:customStyle="1" w:styleId="Heading3Char">
    <w:name w:val="Heading 3 Char"/>
    <w:basedOn w:val="DefaultParagraphFont"/>
    <w:link w:val="Heading3"/>
    <w:uiPriority w:val="9"/>
    <w:semiHidden/>
    <w:rsid w:val="00233C40"/>
    <w:rPr>
      <w:rFonts w:asciiTheme="majorHAnsi" w:eastAsiaTheme="majorEastAsia" w:hAnsiTheme="majorHAnsi" w:cstheme="majorBidi"/>
      <w:color w:val="243F60" w:themeColor="accent1" w:themeShade="7F"/>
      <w:sz w:val="24"/>
      <w:szCs w:val="24"/>
    </w:rPr>
  </w:style>
  <w:style w:type="character" w:customStyle="1" w:styleId="reflex3-block">
    <w:name w:val="reflex3-block"/>
    <w:basedOn w:val="DefaultParagraphFont"/>
    <w:rsid w:val="002E14CE"/>
  </w:style>
  <w:style w:type="character" w:customStyle="1" w:styleId="reflex3-alt">
    <w:name w:val="reflex3-alt"/>
    <w:basedOn w:val="DefaultParagraphFont"/>
    <w:rsid w:val="002E14CE"/>
  </w:style>
  <w:style w:type="paragraph" w:customStyle="1" w:styleId="scjquote">
    <w:name w:val="scjquote"/>
    <w:basedOn w:val="Normal"/>
    <w:rsid w:val="002E14CE"/>
    <w:pPr>
      <w:spacing w:before="100" w:beforeAutospacing="1" w:after="100" w:afterAutospacing="1"/>
    </w:pPr>
    <w:rPr>
      <w:rFonts w:ascii="Times New Roman" w:eastAsia="Times New Roman" w:hAnsi="Times New Roman" w:cs="Times New Roman"/>
      <w:sz w:val="24"/>
      <w:szCs w:val="24"/>
    </w:rPr>
  </w:style>
  <w:style w:type="character" w:customStyle="1" w:styleId="reflex">
    <w:name w:val="reflex"/>
    <w:basedOn w:val="DefaultParagraphFont"/>
    <w:rsid w:val="002E14CE"/>
  </w:style>
  <w:style w:type="character" w:customStyle="1" w:styleId="fontstyle01">
    <w:name w:val="fontstyle01"/>
    <w:basedOn w:val="DefaultParagraphFont"/>
    <w:rsid w:val="00E745D9"/>
    <w:rPr>
      <w:rFonts w:ascii="ArialMT" w:hAnsi="ArialMT" w:hint="default"/>
      <w:b w:val="0"/>
      <w:bCs w:val="0"/>
      <w:i w:val="0"/>
      <w:iCs w:val="0"/>
      <w:color w:val="000000"/>
      <w:sz w:val="24"/>
      <w:szCs w:val="24"/>
    </w:rPr>
  </w:style>
  <w:style w:type="character" w:customStyle="1" w:styleId="fontstyle21">
    <w:name w:val="fontstyle21"/>
    <w:basedOn w:val="DefaultParagraphFont"/>
    <w:rsid w:val="00E745D9"/>
    <w:rPr>
      <w:rFonts w:ascii="Arial-ItalicMT" w:hAnsi="Arial-ItalicMT" w:hint="default"/>
      <w:b w:val="0"/>
      <w:bCs w:val="0"/>
      <w:i/>
      <w:iCs/>
      <w:color w:val="000000"/>
      <w:sz w:val="24"/>
      <w:szCs w:val="24"/>
    </w:rPr>
  </w:style>
  <w:style w:type="character" w:styleId="CommentReference">
    <w:name w:val="annotation reference"/>
    <w:basedOn w:val="DefaultParagraphFont"/>
    <w:uiPriority w:val="99"/>
    <w:semiHidden/>
    <w:unhideWhenUsed/>
    <w:rsid w:val="0099679A"/>
    <w:rPr>
      <w:sz w:val="16"/>
      <w:szCs w:val="16"/>
    </w:rPr>
  </w:style>
  <w:style w:type="paragraph" w:styleId="CommentText">
    <w:name w:val="annotation text"/>
    <w:basedOn w:val="Normal"/>
    <w:link w:val="CommentTextChar"/>
    <w:uiPriority w:val="99"/>
    <w:semiHidden/>
    <w:unhideWhenUsed/>
    <w:rsid w:val="0099679A"/>
    <w:rPr>
      <w:sz w:val="20"/>
      <w:szCs w:val="20"/>
    </w:rPr>
  </w:style>
  <w:style w:type="character" w:customStyle="1" w:styleId="CommentTextChar">
    <w:name w:val="Comment Text Char"/>
    <w:basedOn w:val="DefaultParagraphFont"/>
    <w:link w:val="CommentText"/>
    <w:uiPriority w:val="99"/>
    <w:semiHidden/>
    <w:rsid w:val="0099679A"/>
    <w:rPr>
      <w:sz w:val="20"/>
      <w:szCs w:val="20"/>
    </w:rPr>
  </w:style>
  <w:style w:type="paragraph" w:styleId="CommentSubject">
    <w:name w:val="annotation subject"/>
    <w:basedOn w:val="CommentText"/>
    <w:next w:val="CommentText"/>
    <w:link w:val="CommentSubjectChar"/>
    <w:uiPriority w:val="99"/>
    <w:semiHidden/>
    <w:unhideWhenUsed/>
    <w:rsid w:val="0099679A"/>
    <w:rPr>
      <w:b/>
      <w:bCs/>
    </w:rPr>
  </w:style>
  <w:style w:type="character" w:customStyle="1" w:styleId="CommentSubjectChar">
    <w:name w:val="Comment Subject Char"/>
    <w:basedOn w:val="CommentTextChar"/>
    <w:link w:val="CommentSubject"/>
    <w:uiPriority w:val="99"/>
    <w:semiHidden/>
    <w:rsid w:val="0099679A"/>
    <w:rPr>
      <w:b/>
      <w:bCs/>
      <w:sz w:val="20"/>
      <w:szCs w:val="20"/>
    </w:rPr>
  </w:style>
  <w:style w:type="character" w:customStyle="1" w:styleId="cohl">
    <w:name w:val="co_hl"/>
    <w:basedOn w:val="DefaultParagraphFont"/>
    <w:rsid w:val="002A5818"/>
  </w:style>
  <w:style w:type="paragraph" w:styleId="Revision">
    <w:name w:val="Revision"/>
    <w:hidden/>
    <w:uiPriority w:val="99"/>
    <w:semiHidden/>
    <w:rsid w:val="00EF10C2"/>
    <w:pPr>
      <w:spacing w:after="0" w:line="240" w:lineRule="auto"/>
    </w:pPr>
  </w:style>
  <w:style w:type="character" w:styleId="UnresolvedMention">
    <w:name w:val="Unresolved Mention"/>
    <w:basedOn w:val="DefaultParagraphFont"/>
    <w:uiPriority w:val="99"/>
    <w:semiHidden/>
    <w:unhideWhenUsed/>
    <w:rsid w:val="00071E5E"/>
    <w:rPr>
      <w:color w:val="605E5C"/>
      <w:shd w:val="clear" w:color="auto" w:fill="E1DFDD"/>
    </w:rPr>
  </w:style>
  <w:style w:type="character" w:customStyle="1" w:styleId="reflex2-link">
    <w:name w:val="reflex2-link"/>
    <w:basedOn w:val="DefaultParagraphFont"/>
    <w:rsid w:val="003F0D44"/>
  </w:style>
  <w:style w:type="paragraph" w:customStyle="1" w:styleId="level1">
    <w:name w:val="level1"/>
    <w:basedOn w:val="Normal"/>
    <w:rsid w:val="00E969C4"/>
    <w:pPr>
      <w:spacing w:before="100" w:beforeAutospacing="1" w:after="100" w:afterAutospacing="1"/>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3548">
      <w:bodyDiv w:val="1"/>
      <w:marLeft w:val="0"/>
      <w:marRight w:val="0"/>
      <w:marTop w:val="0"/>
      <w:marBottom w:val="0"/>
      <w:divBdr>
        <w:top w:val="none" w:sz="0" w:space="0" w:color="auto"/>
        <w:left w:val="none" w:sz="0" w:space="0" w:color="auto"/>
        <w:bottom w:val="none" w:sz="0" w:space="0" w:color="auto"/>
        <w:right w:val="none" w:sz="0" w:space="0" w:color="auto"/>
      </w:divBdr>
    </w:div>
    <w:div w:id="103232093">
      <w:bodyDiv w:val="1"/>
      <w:marLeft w:val="0"/>
      <w:marRight w:val="0"/>
      <w:marTop w:val="0"/>
      <w:marBottom w:val="0"/>
      <w:divBdr>
        <w:top w:val="none" w:sz="0" w:space="0" w:color="auto"/>
        <w:left w:val="none" w:sz="0" w:space="0" w:color="auto"/>
        <w:bottom w:val="none" w:sz="0" w:space="0" w:color="auto"/>
        <w:right w:val="none" w:sz="0" w:space="0" w:color="auto"/>
      </w:divBdr>
    </w:div>
    <w:div w:id="115680541">
      <w:bodyDiv w:val="1"/>
      <w:marLeft w:val="0"/>
      <w:marRight w:val="0"/>
      <w:marTop w:val="0"/>
      <w:marBottom w:val="0"/>
      <w:divBdr>
        <w:top w:val="none" w:sz="0" w:space="0" w:color="auto"/>
        <w:left w:val="none" w:sz="0" w:space="0" w:color="auto"/>
        <w:bottom w:val="none" w:sz="0" w:space="0" w:color="auto"/>
        <w:right w:val="none" w:sz="0" w:space="0" w:color="auto"/>
      </w:divBdr>
    </w:div>
    <w:div w:id="194117901">
      <w:bodyDiv w:val="1"/>
      <w:marLeft w:val="0"/>
      <w:marRight w:val="0"/>
      <w:marTop w:val="0"/>
      <w:marBottom w:val="0"/>
      <w:divBdr>
        <w:top w:val="none" w:sz="0" w:space="0" w:color="auto"/>
        <w:left w:val="none" w:sz="0" w:space="0" w:color="auto"/>
        <w:bottom w:val="none" w:sz="0" w:space="0" w:color="auto"/>
        <w:right w:val="none" w:sz="0" w:space="0" w:color="auto"/>
      </w:divBdr>
      <w:divsChild>
        <w:div w:id="2144804289">
          <w:blockQuote w:val="1"/>
          <w:marLeft w:val="0"/>
          <w:marRight w:val="0"/>
          <w:marTop w:val="75"/>
          <w:marBottom w:val="150"/>
          <w:divBdr>
            <w:top w:val="none" w:sz="0" w:space="0" w:color="auto"/>
            <w:left w:val="none" w:sz="0" w:space="0" w:color="auto"/>
            <w:bottom w:val="none" w:sz="0" w:space="0" w:color="auto"/>
            <w:right w:val="none" w:sz="0" w:space="0" w:color="auto"/>
          </w:divBdr>
          <w:divsChild>
            <w:div w:id="10733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718">
      <w:bodyDiv w:val="1"/>
      <w:marLeft w:val="0"/>
      <w:marRight w:val="0"/>
      <w:marTop w:val="0"/>
      <w:marBottom w:val="0"/>
      <w:divBdr>
        <w:top w:val="none" w:sz="0" w:space="0" w:color="auto"/>
        <w:left w:val="none" w:sz="0" w:space="0" w:color="auto"/>
        <w:bottom w:val="none" w:sz="0" w:space="0" w:color="auto"/>
        <w:right w:val="none" w:sz="0" w:space="0" w:color="auto"/>
      </w:divBdr>
    </w:div>
    <w:div w:id="365177331">
      <w:bodyDiv w:val="1"/>
      <w:marLeft w:val="0"/>
      <w:marRight w:val="0"/>
      <w:marTop w:val="0"/>
      <w:marBottom w:val="0"/>
      <w:divBdr>
        <w:top w:val="none" w:sz="0" w:space="0" w:color="auto"/>
        <w:left w:val="none" w:sz="0" w:space="0" w:color="auto"/>
        <w:bottom w:val="none" w:sz="0" w:space="0" w:color="auto"/>
        <w:right w:val="none" w:sz="0" w:space="0" w:color="auto"/>
      </w:divBdr>
    </w:div>
    <w:div w:id="505633512">
      <w:bodyDiv w:val="1"/>
      <w:marLeft w:val="0"/>
      <w:marRight w:val="0"/>
      <w:marTop w:val="0"/>
      <w:marBottom w:val="0"/>
      <w:divBdr>
        <w:top w:val="none" w:sz="0" w:space="0" w:color="auto"/>
        <w:left w:val="none" w:sz="0" w:space="0" w:color="auto"/>
        <w:bottom w:val="none" w:sz="0" w:space="0" w:color="auto"/>
        <w:right w:val="none" w:sz="0" w:space="0" w:color="auto"/>
      </w:divBdr>
    </w:div>
    <w:div w:id="508106658">
      <w:bodyDiv w:val="1"/>
      <w:marLeft w:val="0"/>
      <w:marRight w:val="0"/>
      <w:marTop w:val="0"/>
      <w:marBottom w:val="0"/>
      <w:divBdr>
        <w:top w:val="none" w:sz="0" w:space="0" w:color="auto"/>
        <w:left w:val="none" w:sz="0" w:space="0" w:color="auto"/>
        <w:bottom w:val="none" w:sz="0" w:space="0" w:color="auto"/>
        <w:right w:val="none" w:sz="0" w:space="0" w:color="auto"/>
      </w:divBdr>
      <w:divsChild>
        <w:div w:id="274951146">
          <w:blockQuote w:val="1"/>
          <w:marLeft w:val="0"/>
          <w:marRight w:val="120"/>
          <w:marTop w:val="0"/>
          <w:marBottom w:val="240"/>
          <w:divBdr>
            <w:top w:val="single" w:sz="6" w:space="6" w:color="EEEEEE"/>
            <w:left w:val="single" w:sz="6" w:space="6" w:color="EEEEEE"/>
            <w:bottom w:val="single" w:sz="6" w:space="6" w:color="CCCCCC"/>
            <w:right w:val="single" w:sz="6" w:space="6" w:color="CCCCCC"/>
          </w:divBdr>
        </w:div>
      </w:divsChild>
    </w:div>
    <w:div w:id="560873903">
      <w:bodyDiv w:val="1"/>
      <w:marLeft w:val="0"/>
      <w:marRight w:val="0"/>
      <w:marTop w:val="0"/>
      <w:marBottom w:val="0"/>
      <w:divBdr>
        <w:top w:val="none" w:sz="0" w:space="0" w:color="auto"/>
        <w:left w:val="none" w:sz="0" w:space="0" w:color="auto"/>
        <w:bottom w:val="none" w:sz="0" w:space="0" w:color="auto"/>
        <w:right w:val="none" w:sz="0" w:space="0" w:color="auto"/>
      </w:divBdr>
    </w:div>
    <w:div w:id="726803057">
      <w:bodyDiv w:val="1"/>
      <w:marLeft w:val="0"/>
      <w:marRight w:val="0"/>
      <w:marTop w:val="0"/>
      <w:marBottom w:val="0"/>
      <w:divBdr>
        <w:top w:val="none" w:sz="0" w:space="0" w:color="auto"/>
        <w:left w:val="none" w:sz="0" w:space="0" w:color="auto"/>
        <w:bottom w:val="none" w:sz="0" w:space="0" w:color="auto"/>
        <w:right w:val="none" w:sz="0" w:space="0" w:color="auto"/>
      </w:divBdr>
    </w:div>
    <w:div w:id="758136172">
      <w:bodyDiv w:val="1"/>
      <w:marLeft w:val="0"/>
      <w:marRight w:val="0"/>
      <w:marTop w:val="0"/>
      <w:marBottom w:val="0"/>
      <w:divBdr>
        <w:top w:val="none" w:sz="0" w:space="0" w:color="auto"/>
        <w:left w:val="none" w:sz="0" w:space="0" w:color="auto"/>
        <w:bottom w:val="none" w:sz="0" w:space="0" w:color="auto"/>
        <w:right w:val="none" w:sz="0" w:space="0" w:color="auto"/>
      </w:divBdr>
      <w:divsChild>
        <w:div w:id="1006636390">
          <w:marLeft w:val="0"/>
          <w:marRight w:val="0"/>
          <w:marTop w:val="0"/>
          <w:marBottom w:val="0"/>
          <w:divBdr>
            <w:top w:val="none" w:sz="0" w:space="0" w:color="auto"/>
            <w:left w:val="none" w:sz="0" w:space="0" w:color="auto"/>
            <w:bottom w:val="none" w:sz="0" w:space="0" w:color="auto"/>
            <w:right w:val="none" w:sz="0" w:space="0" w:color="auto"/>
          </w:divBdr>
        </w:div>
      </w:divsChild>
    </w:div>
    <w:div w:id="815030022">
      <w:bodyDiv w:val="1"/>
      <w:marLeft w:val="0"/>
      <w:marRight w:val="0"/>
      <w:marTop w:val="0"/>
      <w:marBottom w:val="0"/>
      <w:divBdr>
        <w:top w:val="none" w:sz="0" w:space="0" w:color="auto"/>
        <w:left w:val="none" w:sz="0" w:space="0" w:color="auto"/>
        <w:bottom w:val="none" w:sz="0" w:space="0" w:color="auto"/>
        <w:right w:val="none" w:sz="0" w:space="0" w:color="auto"/>
      </w:divBdr>
      <w:divsChild>
        <w:div w:id="519664159">
          <w:marLeft w:val="0"/>
          <w:marRight w:val="0"/>
          <w:marTop w:val="1500"/>
          <w:marBottom w:val="1500"/>
          <w:divBdr>
            <w:top w:val="none" w:sz="0" w:space="0" w:color="auto"/>
            <w:left w:val="none" w:sz="0" w:space="0" w:color="auto"/>
            <w:bottom w:val="none" w:sz="0" w:space="0" w:color="auto"/>
            <w:right w:val="none" w:sz="0" w:space="0" w:color="auto"/>
          </w:divBdr>
          <w:divsChild>
            <w:div w:id="57088817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19614902">
      <w:bodyDiv w:val="1"/>
      <w:marLeft w:val="0"/>
      <w:marRight w:val="0"/>
      <w:marTop w:val="0"/>
      <w:marBottom w:val="0"/>
      <w:divBdr>
        <w:top w:val="none" w:sz="0" w:space="0" w:color="auto"/>
        <w:left w:val="none" w:sz="0" w:space="0" w:color="auto"/>
        <w:bottom w:val="none" w:sz="0" w:space="0" w:color="auto"/>
        <w:right w:val="none" w:sz="0" w:space="0" w:color="auto"/>
      </w:divBdr>
    </w:div>
    <w:div w:id="823862121">
      <w:bodyDiv w:val="1"/>
      <w:marLeft w:val="0"/>
      <w:marRight w:val="0"/>
      <w:marTop w:val="0"/>
      <w:marBottom w:val="0"/>
      <w:divBdr>
        <w:top w:val="none" w:sz="0" w:space="0" w:color="auto"/>
        <w:left w:val="none" w:sz="0" w:space="0" w:color="auto"/>
        <w:bottom w:val="none" w:sz="0" w:space="0" w:color="auto"/>
        <w:right w:val="none" w:sz="0" w:space="0" w:color="auto"/>
      </w:divBdr>
    </w:div>
    <w:div w:id="838542092">
      <w:bodyDiv w:val="1"/>
      <w:marLeft w:val="0"/>
      <w:marRight w:val="0"/>
      <w:marTop w:val="0"/>
      <w:marBottom w:val="0"/>
      <w:divBdr>
        <w:top w:val="none" w:sz="0" w:space="0" w:color="auto"/>
        <w:left w:val="none" w:sz="0" w:space="0" w:color="auto"/>
        <w:bottom w:val="none" w:sz="0" w:space="0" w:color="auto"/>
        <w:right w:val="none" w:sz="0" w:space="0" w:color="auto"/>
      </w:divBdr>
      <w:divsChild>
        <w:div w:id="1280144807">
          <w:marLeft w:val="0"/>
          <w:marRight w:val="0"/>
          <w:marTop w:val="0"/>
          <w:marBottom w:val="0"/>
          <w:divBdr>
            <w:top w:val="none" w:sz="0" w:space="0" w:color="auto"/>
            <w:left w:val="none" w:sz="0" w:space="0" w:color="auto"/>
            <w:bottom w:val="none" w:sz="0" w:space="0" w:color="auto"/>
            <w:right w:val="none" w:sz="0" w:space="0" w:color="auto"/>
          </w:divBdr>
        </w:div>
        <w:div w:id="641814588">
          <w:marLeft w:val="0"/>
          <w:marRight w:val="0"/>
          <w:marTop w:val="0"/>
          <w:marBottom w:val="0"/>
          <w:divBdr>
            <w:top w:val="none" w:sz="0" w:space="0" w:color="auto"/>
            <w:left w:val="none" w:sz="0" w:space="0" w:color="auto"/>
            <w:bottom w:val="none" w:sz="0" w:space="0" w:color="auto"/>
            <w:right w:val="none" w:sz="0" w:space="0" w:color="auto"/>
          </w:divBdr>
        </w:div>
        <w:div w:id="905644965">
          <w:marLeft w:val="0"/>
          <w:marRight w:val="0"/>
          <w:marTop w:val="0"/>
          <w:marBottom w:val="0"/>
          <w:divBdr>
            <w:top w:val="none" w:sz="0" w:space="0" w:color="auto"/>
            <w:left w:val="none" w:sz="0" w:space="0" w:color="auto"/>
            <w:bottom w:val="none" w:sz="0" w:space="0" w:color="auto"/>
            <w:right w:val="none" w:sz="0" w:space="0" w:color="auto"/>
          </w:divBdr>
        </w:div>
      </w:divsChild>
    </w:div>
    <w:div w:id="878199563">
      <w:bodyDiv w:val="1"/>
      <w:marLeft w:val="0"/>
      <w:marRight w:val="0"/>
      <w:marTop w:val="0"/>
      <w:marBottom w:val="0"/>
      <w:divBdr>
        <w:top w:val="none" w:sz="0" w:space="0" w:color="auto"/>
        <w:left w:val="none" w:sz="0" w:space="0" w:color="auto"/>
        <w:bottom w:val="none" w:sz="0" w:space="0" w:color="auto"/>
        <w:right w:val="none" w:sz="0" w:space="0" w:color="auto"/>
      </w:divBdr>
    </w:div>
    <w:div w:id="885797268">
      <w:bodyDiv w:val="1"/>
      <w:marLeft w:val="0"/>
      <w:marRight w:val="0"/>
      <w:marTop w:val="0"/>
      <w:marBottom w:val="0"/>
      <w:divBdr>
        <w:top w:val="none" w:sz="0" w:space="0" w:color="auto"/>
        <w:left w:val="none" w:sz="0" w:space="0" w:color="auto"/>
        <w:bottom w:val="none" w:sz="0" w:space="0" w:color="auto"/>
        <w:right w:val="none" w:sz="0" w:space="0" w:color="auto"/>
      </w:divBdr>
    </w:div>
    <w:div w:id="930427963">
      <w:bodyDiv w:val="1"/>
      <w:marLeft w:val="0"/>
      <w:marRight w:val="0"/>
      <w:marTop w:val="0"/>
      <w:marBottom w:val="0"/>
      <w:divBdr>
        <w:top w:val="none" w:sz="0" w:space="0" w:color="auto"/>
        <w:left w:val="none" w:sz="0" w:space="0" w:color="auto"/>
        <w:bottom w:val="none" w:sz="0" w:space="0" w:color="auto"/>
        <w:right w:val="none" w:sz="0" w:space="0" w:color="auto"/>
      </w:divBdr>
    </w:div>
    <w:div w:id="985934533">
      <w:bodyDiv w:val="1"/>
      <w:marLeft w:val="0"/>
      <w:marRight w:val="0"/>
      <w:marTop w:val="0"/>
      <w:marBottom w:val="0"/>
      <w:divBdr>
        <w:top w:val="none" w:sz="0" w:space="0" w:color="auto"/>
        <w:left w:val="none" w:sz="0" w:space="0" w:color="auto"/>
        <w:bottom w:val="none" w:sz="0" w:space="0" w:color="auto"/>
        <w:right w:val="none" w:sz="0" w:space="0" w:color="auto"/>
      </w:divBdr>
    </w:div>
    <w:div w:id="1020007042">
      <w:bodyDiv w:val="1"/>
      <w:marLeft w:val="0"/>
      <w:marRight w:val="0"/>
      <w:marTop w:val="0"/>
      <w:marBottom w:val="0"/>
      <w:divBdr>
        <w:top w:val="none" w:sz="0" w:space="0" w:color="auto"/>
        <w:left w:val="none" w:sz="0" w:space="0" w:color="auto"/>
        <w:bottom w:val="none" w:sz="0" w:space="0" w:color="auto"/>
        <w:right w:val="none" w:sz="0" w:space="0" w:color="auto"/>
      </w:divBdr>
    </w:div>
    <w:div w:id="1155679802">
      <w:bodyDiv w:val="1"/>
      <w:marLeft w:val="0"/>
      <w:marRight w:val="0"/>
      <w:marTop w:val="0"/>
      <w:marBottom w:val="0"/>
      <w:divBdr>
        <w:top w:val="none" w:sz="0" w:space="0" w:color="auto"/>
        <w:left w:val="none" w:sz="0" w:space="0" w:color="auto"/>
        <w:bottom w:val="none" w:sz="0" w:space="0" w:color="auto"/>
        <w:right w:val="none" w:sz="0" w:space="0" w:color="auto"/>
      </w:divBdr>
    </w:div>
    <w:div w:id="1158115228">
      <w:bodyDiv w:val="1"/>
      <w:marLeft w:val="0"/>
      <w:marRight w:val="0"/>
      <w:marTop w:val="0"/>
      <w:marBottom w:val="0"/>
      <w:divBdr>
        <w:top w:val="none" w:sz="0" w:space="0" w:color="auto"/>
        <w:left w:val="none" w:sz="0" w:space="0" w:color="auto"/>
        <w:bottom w:val="none" w:sz="0" w:space="0" w:color="auto"/>
        <w:right w:val="none" w:sz="0" w:space="0" w:color="auto"/>
      </w:divBdr>
    </w:div>
    <w:div w:id="1231694625">
      <w:bodyDiv w:val="1"/>
      <w:marLeft w:val="0"/>
      <w:marRight w:val="0"/>
      <w:marTop w:val="0"/>
      <w:marBottom w:val="0"/>
      <w:divBdr>
        <w:top w:val="none" w:sz="0" w:space="0" w:color="auto"/>
        <w:left w:val="none" w:sz="0" w:space="0" w:color="auto"/>
        <w:bottom w:val="none" w:sz="0" w:space="0" w:color="auto"/>
        <w:right w:val="none" w:sz="0" w:space="0" w:color="auto"/>
      </w:divBdr>
    </w:div>
    <w:div w:id="1241403643">
      <w:bodyDiv w:val="1"/>
      <w:marLeft w:val="0"/>
      <w:marRight w:val="0"/>
      <w:marTop w:val="0"/>
      <w:marBottom w:val="0"/>
      <w:divBdr>
        <w:top w:val="none" w:sz="0" w:space="0" w:color="auto"/>
        <w:left w:val="none" w:sz="0" w:space="0" w:color="auto"/>
        <w:bottom w:val="none" w:sz="0" w:space="0" w:color="auto"/>
        <w:right w:val="none" w:sz="0" w:space="0" w:color="auto"/>
      </w:divBdr>
      <w:divsChild>
        <w:div w:id="897470995">
          <w:marLeft w:val="0"/>
          <w:marRight w:val="0"/>
          <w:marTop w:val="0"/>
          <w:marBottom w:val="0"/>
          <w:divBdr>
            <w:top w:val="none" w:sz="0" w:space="0" w:color="auto"/>
            <w:left w:val="none" w:sz="0" w:space="0" w:color="auto"/>
            <w:bottom w:val="none" w:sz="0" w:space="0" w:color="auto"/>
            <w:right w:val="none" w:sz="0" w:space="0" w:color="auto"/>
          </w:divBdr>
        </w:div>
      </w:divsChild>
    </w:div>
    <w:div w:id="1437366297">
      <w:bodyDiv w:val="1"/>
      <w:marLeft w:val="0"/>
      <w:marRight w:val="0"/>
      <w:marTop w:val="0"/>
      <w:marBottom w:val="0"/>
      <w:divBdr>
        <w:top w:val="none" w:sz="0" w:space="0" w:color="auto"/>
        <w:left w:val="none" w:sz="0" w:space="0" w:color="auto"/>
        <w:bottom w:val="none" w:sz="0" w:space="0" w:color="auto"/>
        <w:right w:val="none" w:sz="0" w:space="0" w:color="auto"/>
      </w:divBdr>
    </w:div>
    <w:div w:id="1440447760">
      <w:bodyDiv w:val="1"/>
      <w:marLeft w:val="0"/>
      <w:marRight w:val="0"/>
      <w:marTop w:val="0"/>
      <w:marBottom w:val="0"/>
      <w:divBdr>
        <w:top w:val="none" w:sz="0" w:space="0" w:color="auto"/>
        <w:left w:val="none" w:sz="0" w:space="0" w:color="auto"/>
        <w:bottom w:val="none" w:sz="0" w:space="0" w:color="auto"/>
        <w:right w:val="none" w:sz="0" w:space="0" w:color="auto"/>
      </w:divBdr>
    </w:div>
    <w:div w:id="1508590679">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39515375">
      <w:bodyDiv w:val="1"/>
      <w:marLeft w:val="0"/>
      <w:marRight w:val="0"/>
      <w:marTop w:val="0"/>
      <w:marBottom w:val="0"/>
      <w:divBdr>
        <w:top w:val="none" w:sz="0" w:space="0" w:color="auto"/>
        <w:left w:val="none" w:sz="0" w:space="0" w:color="auto"/>
        <w:bottom w:val="none" w:sz="0" w:space="0" w:color="auto"/>
        <w:right w:val="none" w:sz="0" w:space="0" w:color="auto"/>
      </w:divBdr>
    </w:div>
    <w:div w:id="1606767196">
      <w:bodyDiv w:val="1"/>
      <w:marLeft w:val="0"/>
      <w:marRight w:val="0"/>
      <w:marTop w:val="0"/>
      <w:marBottom w:val="0"/>
      <w:divBdr>
        <w:top w:val="none" w:sz="0" w:space="0" w:color="auto"/>
        <w:left w:val="none" w:sz="0" w:space="0" w:color="auto"/>
        <w:bottom w:val="none" w:sz="0" w:space="0" w:color="auto"/>
        <w:right w:val="none" w:sz="0" w:space="0" w:color="auto"/>
      </w:divBdr>
    </w:div>
    <w:div w:id="1633443173">
      <w:bodyDiv w:val="1"/>
      <w:marLeft w:val="0"/>
      <w:marRight w:val="0"/>
      <w:marTop w:val="0"/>
      <w:marBottom w:val="0"/>
      <w:divBdr>
        <w:top w:val="none" w:sz="0" w:space="0" w:color="auto"/>
        <w:left w:val="none" w:sz="0" w:space="0" w:color="auto"/>
        <w:bottom w:val="none" w:sz="0" w:space="0" w:color="auto"/>
        <w:right w:val="none" w:sz="0" w:space="0" w:color="auto"/>
      </w:divBdr>
    </w:div>
    <w:div w:id="1733386502">
      <w:bodyDiv w:val="1"/>
      <w:marLeft w:val="0"/>
      <w:marRight w:val="0"/>
      <w:marTop w:val="0"/>
      <w:marBottom w:val="0"/>
      <w:divBdr>
        <w:top w:val="none" w:sz="0" w:space="0" w:color="auto"/>
        <w:left w:val="none" w:sz="0" w:space="0" w:color="auto"/>
        <w:bottom w:val="none" w:sz="0" w:space="0" w:color="auto"/>
        <w:right w:val="none" w:sz="0" w:space="0" w:color="auto"/>
      </w:divBdr>
    </w:div>
    <w:div w:id="1873955529">
      <w:bodyDiv w:val="1"/>
      <w:marLeft w:val="0"/>
      <w:marRight w:val="0"/>
      <w:marTop w:val="0"/>
      <w:marBottom w:val="0"/>
      <w:divBdr>
        <w:top w:val="none" w:sz="0" w:space="0" w:color="auto"/>
        <w:left w:val="none" w:sz="0" w:space="0" w:color="auto"/>
        <w:bottom w:val="none" w:sz="0" w:space="0" w:color="auto"/>
        <w:right w:val="none" w:sz="0" w:space="0" w:color="auto"/>
      </w:divBdr>
    </w:div>
    <w:div w:id="1904638815">
      <w:bodyDiv w:val="1"/>
      <w:marLeft w:val="0"/>
      <w:marRight w:val="0"/>
      <w:marTop w:val="0"/>
      <w:marBottom w:val="0"/>
      <w:divBdr>
        <w:top w:val="none" w:sz="0" w:space="0" w:color="auto"/>
        <w:left w:val="none" w:sz="0" w:space="0" w:color="auto"/>
        <w:bottom w:val="none" w:sz="0" w:space="0" w:color="auto"/>
        <w:right w:val="none" w:sz="0" w:space="0" w:color="auto"/>
      </w:divBdr>
    </w:div>
    <w:div w:id="1996180268">
      <w:bodyDiv w:val="1"/>
      <w:marLeft w:val="0"/>
      <w:marRight w:val="0"/>
      <w:marTop w:val="0"/>
      <w:marBottom w:val="0"/>
      <w:divBdr>
        <w:top w:val="none" w:sz="0" w:space="0" w:color="auto"/>
        <w:left w:val="none" w:sz="0" w:space="0" w:color="auto"/>
        <w:bottom w:val="none" w:sz="0" w:space="0" w:color="auto"/>
        <w:right w:val="none" w:sz="0" w:space="0" w:color="auto"/>
      </w:divBdr>
      <w:divsChild>
        <w:div w:id="1895002513">
          <w:marLeft w:val="0"/>
          <w:marRight w:val="0"/>
          <w:marTop w:val="0"/>
          <w:marBottom w:val="0"/>
          <w:divBdr>
            <w:top w:val="none" w:sz="0" w:space="0" w:color="auto"/>
            <w:left w:val="none" w:sz="0" w:space="0" w:color="auto"/>
            <w:bottom w:val="none" w:sz="0" w:space="0" w:color="auto"/>
            <w:right w:val="none" w:sz="0" w:space="0" w:color="auto"/>
          </w:divBdr>
        </w:div>
        <w:div w:id="20473760">
          <w:marLeft w:val="0"/>
          <w:marRight w:val="0"/>
          <w:marTop w:val="0"/>
          <w:marBottom w:val="0"/>
          <w:divBdr>
            <w:top w:val="none" w:sz="0" w:space="0" w:color="auto"/>
            <w:left w:val="none" w:sz="0" w:space="0" w:color="auto"/>
            <w:bottom w:val="none" w:sz="0" w:space="0" w:color="auto"/>
            <w:right w:val="none" w:sz="0" w:space="0" w:color="auto"/>
          </w:divBdr>
        </w:div>
        <w:div w:id="317269033">
          <w:marLeft w:val="0"/>
          <w:marRight w:val="0"/>
          <w:marTop w:val="0"/>
          <w:marBottom w:val="0"/>
          <w:divBdr>
            <w:top w:val="none" w:sz="0" w:space="0" w:color="auto"/>
            <w:left w:val="none" w:sz="0" w:space="0" w:color="auto"/>
            <w:bottom w:val="none" w:sz="0" w:space="0" w:color="auto"/>
            <w:right w:val="none" w:sz="0" w:space="0" w:color="auto"/>
          </w:divBdr>
        </w:div>
        <w:div w:id="1079131407">
          <w:marLeft w:val="0"/>
          <w:marRight w:val="0"/>
          <w:marTop w:val="0"/>
          <w:marBottom w:val="0"/>
          <w:divBdr>
            <w:top w:val="none" w:sz="0" w:space="0" w:color="auto"/>
            <w:left w:val="none" w:sz="0" w:space="0" w:color="auto"/>
            <w:bottom w:val="none" w:sz="0" w:space="0" w:color="auto"/>
            <w:right w:val="none" w:sz="0" w:space="0" w:color="auto"/>
          </w:divBdr>
        </w:div>
      </w:divsChild>
    </w:div>
    <w:div w:id="2008551966">
      <w:bodyDiv w:val="1"/>
      <w:marLeft w:val="0"/>
      <w:marRight w:val="0"/>
      <w:marTop w:val="0"/>
      <w:marBottom w:val="0"/>
      <w:divBdr>
        <w:top w:val="none" w:sz="0" w:space="0" w:color="auto"/>
        <w:left w:val="none" w:sz="0" w:space="0" w:color="auto"/>
        <w:bottom w:val="none" w:sz="0" w:space="0" w:color="auto"/>
        <w:right w:val="none" w:sz="0" w:space="0" w:color="auto"/>
      </w:divBdr>
    </w:div>
    <w:div w:id="2027166935">
      <w:bodyDiv w:val="1"/>
      <w:marLeft w:val="0"/>
      <w:marRight w:val="0"/>
      <w:marTop w:val="0"/>
      <w:marBottom w:val="0"/>
      <w:divBdr>
        <w:top w:val="none" w:sz="0" w:space="0" w:color="auto"/>
        <w:left w:val="none" w:sz="0" w:space="0" w:color="auto"/>
        <w:bottom w:val="none" w:sz="0" w:space="0" w:color="auto"/>
        <w:right w:val="none" w:sz="0" w:space="0" w:color="auto"/>
      </w:divBdr>
    </w:div>
    <w:div w:id="202959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ccourts.ca/jdb-txt/sc/20/17/2020BCSC1721.htm" TargetMode="External"/><Relationship Id="rId21" Type="http://schemas.openxmlformats.org/officeDocument/2006/relationships/hyperlink" Target="https://www.bccourts.ca/jdb-txt/sc/19/14/2019BCSC1454.htm" TargetMode="External"/><Relationship Id="rId42" Type="http://schemas.openxmlformats.org/officeDocument/2006/relationships/hyperlink" Target="https://www.bclaws.gov.bc.ca/civix/document/id/complete/statreg/96318_00" TargetMode="External"/><Relationship Id="rId47" Type="http://schemas.openxmlformats.org/officeDocument/2006/relationships/hyperlink" Target="file:///\\klcdc\data\UBC%20Law%20Course\2022\canlii.org\en\ca\scc\doc\1978\1978canlii1\1978canlii1.html%3fautocompleteStr=andrews&amp;autocompletePos=1" TargetMode="External"/><Relationship Id="rId63" Type="http://schemas.openxmlformats.org/officeDocument/2006/relationships/hyperlink" Target="https://www.bccourts.ca/jdb-txt/sc/19/14/2019BCSC1454.htm" TargetMode="External"/><Relationship Id="rId68" Type="http://schemas.openxmlformats.org/officeDocument/2006/relationships/hyperlink" Target="https://www.canlii.org/en/ca/scc/doc/2001/2001scc59/2001scc59.html?autocompleteStr=2001%20SCC%2059&amp;autocompletePos=1" TargetMode="External"/><Relationship Id="rId84" Type="http://schemas.openxmlformats.org/officeDocument/2006/relationships/hyperlink" Target="https://www.canlii.org/en/bc/bcsc/doc/2014/2014bcsc79/2014bcsc79.html?autocompleteStr=2014%20BCSC%2079%20&amp;autocompletePos=1" TargetMode="External"/><Relationship Id="rId89" Type="http://schemas.openxmlformats.org/officeDocument/2006/relationships/hyperlink" Target="https://www.canlii.org/en/bc/bcca/doc/2020/2020bcca125/2020bcca125.html?autocompleteStr=Abdi%20v.%20Burnaby%20(City)%2C%202020%20BCCA%20125&amp;autocompletePos=1" TargetMode="External"/><Relationship Id="rId2" Type="http://schemas.openxmlformats.org/officeDocument/2006/relationships/numbering" Target="numbering.xml"/><Relationship Id="rId16" Type="http://schemas.openxmlformats.org/officeDocument/2006/relationships/hyperlink" Target="https://www.canlii.org/en/ca/scc/doc/1990/1990canlii70/1990canlii70.html?autocompleteStr=snell&amp;autocompletePos=1" TargetMode="External"/><Relationship Id="rId29" Type="http://schemas.openxmlformats.org/officeDocument/2006/relationships/hyperlink" Target="https://www.canlii.org/en/bc/bcsc/doc/2019/2019bcsc1136/2019bcsc1136.html?autocompleteStr=2019%20BCSC%201136&amp;autocompletePos=1" TargetMode="External"/><Relationship Id="rId107" Type="http://schemas.openxmlformats.org/officeDocument/2006/relationships/footer" Target="footer1.xml"/><Relationship Id="rId11" Type="http://schemas.openxmlformats.org/officeDocument/2006/relationships/hyperlink" Target="https://www.canlii.org/en/ca/scc/doc/2021/2021scc41/2021scc41.html?autocompleteStr=2021%20SCC%2041&amp;autocompletePos=1" TargetMode="External"/><Relationship Id="rId24" Type="http://schemas.openxmlformats.org/officeDocument/2006/relationships/hyperlink" Target="https://www.canlii.org/en/bc/bcca/doc/2010/2010bcca212/2010bcca212.html?autocompleteStr=2010%20BCCA%20212&amp;autocompletePos=1" TargetMode="External"/><Relationship Id="rId32" Type="http://schemas.openxmlformats.org/officeDocument/2006/relationships/hyperlink" Target="https://www.canlii.org/en/bc/bcca/doc/2020/2020bcca163/2020bcca163.html?autocompleteStr=uy%20v%20&amp;autocompletePos=4" TargetMode="External"/><Relationship Id="rId37" Type="http://schemas.openxmlformats.org/officeDocument/2006/relationships/hyperlink" Target="https://www.canlii.org/en/ca/scc/doc/1999/1999canlii706/1999canlii706.html?resultIndex=1" TargetMode="External"/><Relationship Id="rId40" Type="http://schemas.openxmlformats.org/officeDocument/2006/relationships/hyperlink" Target="https://www.cbc.ca/news/canada/british-columbia/attacked-b-c-senior-sues-hospital-over-suspect-release-1.1991137" TargetMode="External"/><Relationship Id="rId45" Type="http://schemas.openxmlformats.org/officeDocument/2006/relationships/hyperlink" Target="https://www.canlii.org/en/ca/scc/doc/2007/2007scc7/2007scc7.html?resultIndex=1" TargetMode="External"/><Relationship Id="rId53" Type="http://schemas.openxmlformats.org/officeDocument/2006/relationships/hyperlink" Target="https://www.canlii.org/en/bc/bcca/doc/1986/1986canlii889/1986canlii889.html?resultIndex=2" TargetMode="External"/><Relationship Id="rId58" Type="http://schemas.openxmlformats.org/officeDocument/2006/relationships/hyperlink" Target="https://www.canlii.org/en/bc/bcsc/doc/2015/2015bcsc1779/2015bcsc1779.html" TargetMode="External"/><Relationship Id="rId66" Type="http://schemas.openxmlformats.org/officeDocument/2006/relationships/hyperlink" Target="https://www.canlii.org/en/ca/scc/doc/1999/1999canlii692/1999canlii692.html?autocompleteStr=%20%2C%20%5B1999%5D%202%20S.C.R.%20534&amp;autocompletePos=1" TargetMode="External"/><Relationship Id="rId74" Type="http://schemas.openxmlformats.org/officeDocument/2006/relationships/hyperlink" Target="https://www.canlii.org/en/ca/scc/doc/2005/2005scc58/2005scc58.html?autocompleteStr=2005%20SCC%2058%20&amp;autocompletePos=1" TargetMode="External"/><Relationship Id="rId79" Type="http://schemas.openxmlformats.org/officeDocument/2006/relationships/hyperlink" Target="https://www.canlii.org/en/bc/bcca/doc/1992/1992canlii995/1992canlii995.html?autocompleteStr=Carich%20v.%20Cook&amp;autocompletePos=1" TargetMode="External"/><Relationship Id="rId87" Type="http://schemas.openxmlformats.org/officeDocument/2006/relationships/hyperlink" Target="https://www.canlii.org/en/bc/bcca/doc/2020/2020bcca163/2020bcca163.html?autocompleteStr=uy%20v%20&amp;autocompletePos=4" TargetMode="External"/><Relationship Id="rId102" Type="http://schemas.openxmlformats.org/officeDocument/2006/relationships/hyperlink" Target="https://www.canlii.org/en/ca/scc/doc/1996/1996canlii183/1996canlii183.html?autocompleteStr=1996%203%20SCR%20458%20&amp;autocompletePos=1" TargetMode="External"/><Relationship Id="rId5" Type="http://schemas.openxmlformats.org/officeDocument/2006/relationships/webSettings" Target="webSettings.xml"/><Relationship Id="rId61" Type="http://schemas.openxmlformats.org/officeDocument/2006/relationships/hyperlink" Target="https://www.canlii.org/en/bc/bcca/doc/2008/2008bcca420/2008bcca420.html?resultIndex=1" TargetMode="External"/><Relationship Id="rId82" Type="http://schemas.openxmlformats.org/officeDocument/2006/relationships/hyperlink" Target="https://www.canlii.org/en/bc/bcca/doc/1993/1993canlii383/1993canlii383.html?autocompleteStr=Pacheco%20(Guardian%20ad%20litem%20of)%20v.%20Robinson&amp;autocompletePos=1" TargetMode="External"/><Relationship Id="rId90" Type="http://schemas.openxmlformats.org/officeDocument/2006/relationships/hyperlink" Target="https://www.bailii.org/cgi-bin/format.cgi?doc=/uk/cases/UKHL/1963/1.html&amp;query=(Hughes)+AND+(v.)+AND+(Lord)+AND+(Advocate)" TargetMode="External"/><Relationship Id="rId95" Type="http://schemas.openxmlformats.org/officeDocument/2006/relationships/hyperlink" Target="https://www.canlii.org/en/ca/scc/doc/2021/2021scc41/2021scc41.html?autocompleteStr=2021%20SCC%2041&amp;autocompletePos=1" TargetMode="External"/><Relationship Id="rId19" Type="http://schemas.openxmlformats.org/officeDocument/2006/relationships/hyperlink" Target="https://www.canlii.org/en/bc/bcsc/doc/2007/2007bcsc993/2007bcsc993.html?resultIndex=1" TargetMode="External"/><Relationship Id="rId14" Type="http://schemas.openxmlformats.org/officeDocument/2006/relationships/hyperlink" Target="file:///\\klcdc\data\UBC%20Law%20Course\2022\canlii.org\en\ca\scc\doc\1978\1978canlii1\1978canlii1.html%3fautocompleteStr=andrews&amp;autocompletePos=1" TargetMode="External"/><Relationship Id="rId22" Type="http://schemas.openxmlformats.org/officeDocument/2006/relationships/hyperlink" Target="https://canlii.ca/t/jm245" TargetMode="External"/><Relationship Id="rId27" Type="http://schemas.openxmlformats.org/officeDocument/2006/relationships/hyperlink" Target="https://www.canlii.org/en/bc/bcca/doc/2010/2010bcca321/2010bcca321.html?autocompleteStr=2010%20BCCA%20321&amp;autocompletePos=1" TargetMode="External"/><Relationship Id="rId30" Type="http://schemas.openxmlformats.org/officeDocument/2006/relationships/hyperlink" Target="https://www.canlii.org/en/bc/bcca/doc/2020/2020bcca163/2020bcca163.html?autocompleteStr=uy%20v%20&amp;autocompletePos=4" TargetMode="External"/><Relationship Id="rId35" Type="http://schemas.openxmlformats.org/officeDocument/2006/relationships/hyperlink" Target="https://www.canlii.org/en/bc/bcca/doc/2014/2014bcca297/2014bcca297.html?autocompleteStr=2014%20BCCA%20297%20&amp;autocompletePos=1" TargetMode="External"/><Relationship Id="rId43" Type="http://schemas.openxmlformats.org/officeDocument/2006/relationships/hyperlink" Target="https://www.canlii.org/en/bc/bcca/doc/1990/1990canlii1077/1990canlii1077.html?autocompleteStr=Cook%20v.%20Teh&amp;autocompletePos=1" TargetMode="External"/><Relationship Id="rId48" Type="http://schemas.openxmlformats.org/officeDocument/2006/relationships/hyperlink" Target="https://www.canlii.org/en/bc/bcsc/doc/2012/2012bcsc383/2012bcsc383.html?autocompleteStr=2012%20BCSC%20383&amp;autocompletePos=1" TargetMode="External"/><Relationship Id="rId56" Type="http://schemas.openxmlformats.org/officeDocument/2006/relationships/hyperlink" Target="https://www.canlii.org/en/bc/bcca/doc/2021/2021bcca457/2021bcca457.html?autocompleteStr=alraghe&amp;autocompletePos=2" TargetMode="External"/><Relationship Id="rId64" Type="http://schemas.openxmlformats.org/officeDocument/2006/relationships/hyperlink" Target="https://canlii.ca/t/jm245" TargetMode="External"/><Relationship Id="rId69" Type="http://schemas.openxmlformats.org/officeDocument/2006/relationships/hyperlink" Target="https://www.canlii.org/en/ca/scc/doc/1999/1999canlii692/1999canlii692.html?autocompleteStr=%20%2C%20%5B1999%5D%202%20S.C.R.%20534&amp;autocompletePos=1" TargetMode="External"/><Relationship Id="rId77" Type="http://schemas.openxmlformats.org/officeDocument/2006/relationships/hyperlink" Target="https://www.canlii.org/en/bc/bcca/doc/2010/2010bcca212/2010bcca212.html?autocompleteStr=2010%20BCCA%20212&amp;autocompletePos=1" TargetMode="External"/><Relationship Id="rId100" Type="http://schemas.openxmlformats.org/officeDocument/2006/relationships/hyperlink" Target="https://www.bailii.org/cgi-bin/format.cgi?doc=/ie/cases/IEHC/2015/H414.html&amp;query=((2015))+AND+(IEHC)+AND+(414)" TargetMode="External"/><Relationship Id="rId105" Type="http://schemas.openxmlformats.org/officeDocument/2006/relationships/hyperlink" Target="http://canlii.ca/t/grsdh" TargetMode="External"/><Relationship Id="rId8" Type="http://schemas.openxmlformats.org/officeDocument/2006/relationships/hyperlink" Target="mailto:sk@kazlaw.ca" TargetMode="External"/><Relationship Id="rId51" Type="http://schemas.openxmlformats.org/officeDocument/2006/relationships/hyperlink" Target="https://www.canlii.org/en/ca/scc/doc/1997/1997canlii307/1997canlii307.html?resultIndex=1" TargetMode="External"/><Relationship Id="rId72" Type="http://schemas.openxmlformats.org/officeDocument/2006/relationships/hyperlink" Target="https://www.canlii.org/en/ca/scc/doc/2004/2004scc17/2004scc17.html?autocompleteStr=2004%20scc17&amp;autocompletePos=1" TargetMode="External"/><Relationship Id="rId80" Type="http://schemas.openxmlformats.org/officeDocument/2006/relationships/hyperlink" Target="https://www.canlii.org/en/ca/scc/doc/1952/1952canlii328/1952canlii328.html?autocompleteStr=%20Walker%20v.%20Brownlee%2C%20%5B1952%5D%202%20D.L.R.%20450%20&amp;autocompletePos=1" TargetMode="External"/><Relationship Id="rId85" Type="http://schemas.openxmlformats.org/officeDocument/2006/relationships/hyperlink" Target="https://www.canlii.org/en/bc/bcsc/doc/2019/2019bcsc1136/2019bcsc1136.html?autocompleteStr=2019%20BCSC%201136&amp;autocompletePos=1" TargetMode="External"/><Relationship Id="rId93" Type="http://schemas.openxmlformats.org/officeDocument/2006/relationships/hyperlink" Target="https://www.canlii.org/en/bc/bcsc/doc/2017/2017bcsc1176/2017bcsc1176.html" TargetMode="External"/><Relationship Id="rId98" Type="http://schemas.openxmlformats.org/officeDocument/2006/relationships/hyperlink" Target="https://www.canlii.org/en/ca/scc/doc/1992/1992canlii65/1992canlii65.html?autocompleteStr=%5B1992%5D%202%20S.C.R.%20226&amp;autocompletePos=1" TargetMode="External"/><Relationship Id="rId3" Type="http://schemas.openxmlformats.org/officeDocument/2006/relationships/styles" Target="styles.xml"/><Relationship Id="rId12" Type="http://schemas.openxmlformats.org/officeDocument/2006/relationships/hyperlink" Target="https://www.canlii.org/en/ca/scc/doc/2007/2007scc41/2007scc41.html?autocompleteStr=2007%20SCC%2041%2C&amp;autocompletePos=1" TargetMode="External"/><Relationship Id="rId17" Type="http://schemas.openxmlformats.org/officeDocument/2006/relationships/hyperlink" Target="https://www.canlii.org/en/ca/scc/doc/2008/2008scc53/2008scc53.html?autocompleteStr=2008%20SCC%2053&amp;autocompletePos=1" TargetMode="External"/><Relationship Id="rId25" Type="http://schemas.openxmlformats.org/officeDocument/2006/relationships/hyperlink" Target="https://www.canlii.org/en/bc/bcca/doc/2012/2012bcca436/2012bcca436.html?autocompleteStr=2012%20BCCA%20436&amp;autocompletePos=1" TargetMode="External"/><Relationship Id="rId33" Type="http://schemas.openxmlformats.org/officeDocument/2006/relationships/hyperlink" Target="https://www.canlii.org/en/bc/bcsc/doc/2020/2020bcsc1247/2020bcsc1247.html?resultIndex=1" TargetMode="External"/><Relationship Id="rId38" Type="http://schemas.openxmlformats.org/officeDocument/2006/relationships/hyperlink" Target="https://scc-csc.lexum.com/scc-csc/scc-csc/en/item/17085/index.do" TargetMode="External"/><Relationship Id="rId46" Type="http://schemas.openxmlformats.org/officeDocument/2006/relationships/hyperlink" Target="https://www.canlii.org/en/ca/scc/doc/2012/2012scc32/2012scc32.html?resultIndex=1" TargetMode="External"/><Relationship Id="rId59" Type="http://schemas.openxmlformats.org/officeDocument/2006/relationships/hyperlink" Target="https://www.canlii.org/en/bc/bcsc/doc/2019/2019bcsc928/2019bcsc928.html?autocompleteStr=2019%20bcsc%20928&amp;autocompletePos=1" TargetMode="External"/><Relationship Id="rId67" Type="http://schemas.openxmlformats.org/officeDocument/2006/relationships/hyperlink" Target="https://www.canlii.org/en/nl/nlca/doc/2020/2020nlca27/2020nlca27.html?autocompleteStr=2020%20NLCA%2027&amp;autocompletePos=1" TargetMode="External"/><Relationship Id="rId103" Type="http://schemas.openxmlformats.org/officeDocument/2006/relationships/hyperlink" Target="https://www.canlii.org/en/ca/scc/doc/2007/2007scc7/2007scc7.html?resultIndex=1" TargetMode="External"/><Relationship Id="rId108" Type="http://schemas.openxmlformats.org/officeDocument/2006/relationships/fontTable" Target="fontTable.xml"/><Relationship Id="rId20" Type="http://schemas.openxmlformats.org/officeDocument/2006/relationships/hyperlink" Target="https://www.kazlaw.ca/wp-content/uploads/2019/10/cd08b4_a6471f1eda2c4084800d3c7106fb64e2.pdf" TargetMode="External"/><Relationship Id="rId41" Type="http://schemas.openxmlformats.org/officeDocument/2006/relationships/hyperlink" Target="https://www.canlii.org/en/ca/scc/doc/2007/2007scc41/2007scc41.html?autocompleteStr=2007%20SCC%2041%2C&amp;autocompletePos=1" TargetMode="External"/><Relationship Id="rId54" Type="http://schemas.openxmlformats.org/officeDocument/2006/relationships/hyperlink" Target="https://www.canlii.org/en/bc/bcsc/doc/2019/2019bcsc1136/2019bcsc1136.html?autocompleteStr=2019%20BCSC%201136&amp;autocompletePos=1" TargetMode="External"/><Relationship Id="rId62" Type="http://schemas.openxmlformats.org/officeDocument/2006/relationships/hyperlink" Target="https://www.canlii.org/en/bc/bcca/doc/2008/2008bcca420/2008bcca420.html?resultIndex=1" TargetMode="External"/><Relationship Id="rId70" Type="http://schemas.openxmlformats.org/officeDocument/2006/relationships/hyperlink" Target="https://scc-csc.lexum.com/scc-csc/scc-csc/en/item/1710/index.do" TargetMode="External"/><Relationship Id="rId75" Type="http://schemas.openxmlformats.org/officeDocument/2006/relationships/hyperlink" Target="https://canlii.ca/t/k2hvj" TargetMode="External"/><Relationship Id="rId83" Type="http://schemas.openxmlformats.org/officeDocument/2006/relationships/hyperlink" Target="https://www.canlii.org/en/bc/bcca/doc/2010/2010bcca321/2010bcca321.html?autocompleteStr=2010%20BCCA%20321&amp;autocompletePos=1" TargetMode="External"/><Relationship Id="rId88" Type="http://schemas.openxmlformats.org/officeDocument/2006/relationships/hyperlink" Target="https://www.bclaws.gov.bc.ca/civix/document/id/complete/statreg/96337_01" TargetMode="External"/><Relationship Id="rId91" Type="http://schemas.openxmlformats.org/officeDocument/2006/relationships/hyperlink" Target="https://www.canlii.org/en/mb/mbca/doc/1971/1971canlii959/1971canlii959.html?autocompleteStr=Assiniboine%20South%20School%20Division%20No.%203%20v.%20Greater%20Winnipeg%20Gas%20Co&amp;autocompletePos=1" TargetMode="External"/><Relationship Id="rId96" Type="http://schemas.openxmlformats.org/officeDocument/2006/relationships/hyperlink" Target="https://www.canlii.org/en/ca/scc/doc/1989/1989canlii16/1989canlii16.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nlii.org/en/bc/bcsc/doc/2012/2012bcsc383/2012bcsc383.html?autocompleteStr=2012%20BCSC%20383&amp;autocompletePos=1" TargetMode="External"/><Relationship Id="rId23" Type="http://schemas.openxmlformats.org/officeDocument/2006/relationships/hyperlink" Target="https://www.canlii.org/en/nl/nlca/doc/2020/2020nlca27/2020nlca27.html?autocompleteStr=2020%20NLCA%2027&amp;autocompletePos=1" TargetMode="External"/><Relationship Id="rId28" Type="http://schemas.openxmlformats.org/officeDocument/2006/relationships/hyperlink" Target="https://www.canlii.org/en/bc/bcsc/doc/2014/2014bcsc79/2014bcsc79.html?autocompleteStr=2014%20BCSC%2079%20&amp;autocompletePos=1" TargetMode="External"/><Relationship Id="rId36" Type="http://schemas.openxmlformats.org/officeDocument/2006/relationships/hyperlink" Target="https://www.canlii.org/en/bc/bcca/doc/2020/2020bcca125/2020bcca125.html?autocompleteStr=Abdi%20v.%20Burnaby%20(City)%2C%202020%20BCCA%20125&amp;autocompletePos=1" TargetMode="External"/><Relationship Id="rId49" Type="http://schemas.openxmlformats.org/officeDocument/2006/relationships/hyperlink" Target="https://www.canlii.org/en/ca/scc/doc/1990/1990canlii70/1990canlii70.html?autocompleteStr=snell&amp;autocompletePos=1" TargetMode="External"/><Relationship Id="rId57" Type="http://schemas.openxmlformats.org/officeDocument/2006/relationships/hyperlink" Target="https://www.canlii.org/en/bc/bcsc/doc/2014/2014bcsc732/2014bcsc732.html" TargetMode="External"/><Relationship Id="rId106" Type="http://schemas.openxmlformats.org/officeDocument/2006/relationships/hyperlink" Target="https://canlii.ca/t/jmj4t" TargetMode="External"/><Relationship Id="rId10" Type="http://schemas.openxmlformats.org/officeDocument/2006/relationships/hyperlink" Target="https://scc-csc.lexum.com/scc-csc/scc-csc/en/item/17085/index.do" TargetMode="External"/><Relationship Id="rId31" Type="http://schemas.openxmlformats.org/officeDocument/2006/relationships/hyperlink" Target="https://www.canlii.org/en/bc/bcsc/doc/2019/2019bcsc1136/2019bcsc1136.html?autocompleteStr=2019%20BCSC%201136&amp;autocompletePos=1" TargetMode="External"/><Relationship Id="rId44" Type="http://schemas.openxmlformats.org/officeDocument/2006/relationships/hyperlink" Target="https://www.canlii.org/en/ca/scc/doc/1996/1996canlii183/1996canlii183.html?resultIndex=1" TargetMode="External"/><Relationship Id="rId52" Type="http://schemas.openxmlformats.org/officeDocument/2006/relationships/hyperlink" Target="https://www.bclaws.gov.bc.ca/civix/document/id/complete/statreg/96333_01" TargetMode="External"/><Relationship Id="rId60" Type="http://schemas.openxmlformats.org/officeDocument/2006/relationships/hyperlink" Target="https://www.canlii.org/en/bc/bcsc/doc/2007/2007bcsc993/2007bcsc993.html?resultIndex=1" TargetMode="External"/><Relationship Id="rId65" Type="http://schemas.openxmlformats.org/officeDocument/2006/relationships/hyperlink" Target="https://canlii.ca/t/jm245" TargetMode="External"/><Relationship Id="rId73" Type="http://schemas.openxmlformats.org/officeDocument/2006/relationships/hyperlink" Target="https://www.canlii.org/en/ca/scc/doc/2010/2010scc11/2010scc11.html?autocompleteStr=2010%20SCC%2011%20&amp;autocompletePos=1" TargetMode="External"/><Relationship Id="rId78" Type="http://schemas.openxmlformats.org/officeDocument/2006/relationships/hyperlink" Target="https://www.canlii.org/en/bc/bcca/doc/2010/2010bcca212/2010bcca212.html?autocompleteStr=2010%20BCCA%20212&amp;autocompletePos=1" TargetMode="External"/><Relationship Id="rId81" Type="http://schemas.openxmlformats.org/officeDocument/2006/relationships/hyperlink" Target="https://www.canlii.org/en/bc/bcca/doc/2012/2012bcca436/2012bcca436.html?autocompleteStr=2012%20BCCA%20436&amp;autocompletePos=1" TargetMode="External"/><Relationship Id="rId86" Type="http://schemas.openxmlformats.org/officeDocument/2006/relationships/hyperlink" Target="https://www.canlii.org/en/bc/bcca/doc/2020/2020bcca163/2020bcca163.html?autocompleteStr=uy%20v%20&amp;autocompletePos=4" TargetMode="External"/><Relationship Id="rId94" Type="http://schemas.openxmlformats.org/officeDocument/2006/relationships/hyperlink" Target="https://www.bclaws.gov.bc.ca/civix/document/id/complete/statreg/96089_01" TargetMode="External"/><Relationship Id="rId99" Type="http://schemas.openxmlformats.org/officeDocument/2006/relationships/hyperlink" Target="https://www.canlii.org/en/bc/bcsc/doc/2020/2020bcsc1247/2020bcsc1247.html?resultIndex=1" TargetMode="External"/><Relationship Id="rId101" Type="http://schemas.openxmlformats.org/officeDocument/2006/relationships/hyperlink" Target="https://www.lexology.com/library/detail.aspx?g=6b5b3e69-eb2b-4adc-b4c3-71c9d6462924" TargetMode="External"/><Relationship Id="rId4" Type="http://schemas.openxmlformats.org/officeDocument/2006/relationships/settings" Target="settings.xml"/><Relationship Id="rId9" Type="http://schemas.openxmlformats.org/officeDocument/2006/relationships/hyperlink" Target="mailto:tmartin@kazlaw.ca" TargetMode="External"/><Relationship Id="rId13" Type="http://schemas.openxmlformats.org/officeDocument/2006/relationships/hyperlink" Target="https://www.canlii.org/en/ca/scc/doc/2012/2012scc32/2012scc32.html?resultIndex=1" TargetMode="External"/><Relationship Id="rId18" Type="http://schemas.openxmlformats.org/officeDocument/2006/relationships/hyperlink" Target="https://www.canlii.org/en/bc/bcca/doc/2021/2021bcca457/2021bcca457.html?autocompleteStr=2021%20BCCA%20457&amp;autocompletePos=1" TargetMode="External"/><Relationship Id="rId39" Type="http://schemas.openxmlformats.org/officeDocument/2006/relationships/hyperlink" Target="https://www.canlii.org/en/ca/scc/doc/2021/2021scc41/2021scc41.html?autocompleteStr=2021%20SCC%2041&amp;autocompletePos=1" TargetMode="External"/><Relationship Id="rId109" Type="http://schemas.openxmlformats.org/officeDocument/2006/relationships/theme" Target="theme/theme1.xml"/><Relationship Id="rId34" Type="http://schemas.openxmlformats.org/officeDocument/2006/relationships/hyperlink" Target="https://www.canlii.org/en/ca/scc/doc/1991/1991canlii71/1991canlii71.html?autocompleteStr=%5B1991%5D%202%20SCR%20456%20&amp;autocompletePos=1" TargetMode="External"/><Relationship Id="rId50" Type="http://schemas.openxmlformats.org/officeDocument/2006/relationships/hyperlink" Target="https://www.canlii.org/en/ca/scc/doc/2008/2008scc53/2008scc53.html?autocompleteStr=2008%20SCC%2053&amp;autocompletePos=1" TargetMode="External"/><Relationship Id="rId55" Type="http://schemas.openxmlformats.org/officeDocument/2006/relationships/hyperlink" Target="https://www.canlii.org/en/bc/bcca/doc/2020/2020bcca163/2020bcca163.html?autocompleteStr=uy%20v%20&amp;autocompletePos=4" TargetMode="External"/><Relationship Id="rId76" Type="http://schemas.openxmlformats.org/officeDocument/2006/relationships/hyperlink" Target="https://www.canlii.org/en/bc/bcsc/doc/2020/2020bcsc1721/2020bcsc1721.html?resultIndex=1" TargetMode="External"/><Relationship Id="rId97" Type="http://schemas.openxmlformats.org/officeDocument/2006/relationships/hyperlink" Target="https://www.canlii.org/en/ca/scc/doc/2000/2000scc24/2000scc24.html?autocompleteStr=2000%20SCC%2024&amp;autocompletePos=1" TargetMode="External"/><Relationship Id="rId104" Type="http://schemas.openxmlformats.org/officeDocument/2006/relationships/hyperlink" Target="https://www.canlii.org/en/ca/scc/doc/2012/2012scc32/2012scc32.html?autocompleteStr=2012%20SCC%2032&amp;autocompletePos=1" TargetMode="External"/><Relationship Id="rId7" Type="http://schemas.openxmlformats.org/officeDocument/2006/relationships/endnotes" Target="endnotes.xml"/><Relationship Id="rId71" Type="http://schemas.openxmlformats.org/officeDocument/2006/relationships/hyperlink" Target="https://www.canlii.org/en/ca/scc/doc/2003/2003scc51/2003scc51.html?autocompleteStr=2003%20scc%2051&amp;autocompletePos=1" TargetMode="External"/><Relationship Id="rId92" Type="http://schemas.openxmlformats.org/officeDocument/2006/relationships/hyperlink" Target="https://canlii.ca/t/jxk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390E4-5522-482D-8FA6-1353568BA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9251</TotalTime>
  <Pages>1</Pages>
  <Words>20389</Words>
  <Characters>116223</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KLC</Company>
  <LinksUpToDate>false</LinksUpToDate>
  <CharactersWithSpaces>136340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Kazimirski</dc:creator>
  <cp:lastModifiedBy>Sandy Kovacs</cp:lastModifiedBy>
  <cp:revision>9</cp:revision>
  <cp:lastPrinted>2020-05-01T01:14:00Z</cp:lastPrinted>
  <dcterms:created xsi:type="dcterms:W3CDTF">2024-12-12T20:18:00Z</dcterms:created>
  <dcterms:modified xsi:type="dcterms:W3CDTF">2025-01-07T21:28:00Z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\2025\2025</vt:lpwstr>
  </property>
</Properties>
</file>