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D86D86" w:rsidRPr="006664F0" w14:paraId="6B13F940" w14:textId="77777777" w:rsidTr="00C77A48">
        <w:tc>
          <w:tcPr>
            <w:tcW w:w="3227" w:type="dxa"/>
            <w:tcBorders>
              <w:top w:val="single" w:sz="4" w:space="0" w:color="auto"/>
              <w:left w:val="nil"/>
              <w:bottom w:val="nil"/>
              <w:right w:val="nil"/>
            </w:tcBorders>
          </w:tcPr>
          <w:p w14:paraId="28CD6357" w14:textId="77777777" w:rsidR="00D86D86" w:rsidRPr="006664F0" w:rsidRDefault="00D86D86" w:rsidP="00C77A48">
            <w:pPr>
              <w:pStyle w:val="Title"/>
              <w:tabs>
                <w:tab w:val="left" w:pos="360"/>
              </w:tabs>
              <w:jc w:val="both"/>
              <w:rPr>
                <w:rFonts w:ascii="Arial" w:hAnsi="Arial" w:cs="Arial"/>
                <w:sz w:val="24"/>
                <w:szCs w:val="24"/>
              </w:rPr>
            </w:pPr>
          </w:p>
        </w:tc>
        <w:tc>
          <w:tcPr>
            <w:tcW w:w="4081" w:type="dxa"/>
            <w:tcBorders>
              <w:top w:val="single" w:sz="4" w:space="0" w:color="auto"/>
              <w:left w:val="nil"/>
              <w:bottom w:val="nil"/>
              <w:right w:val="nil"/>
            </w:tcBorders>
          </w:tcPr>
          <w:p w14:paraId="6A68D041" w14:textId="77777777" w:rsidR="00D86D86" w:rsidRPr="006664F0" w:rsidRDefault="00D86D86" w:rsidP="00C77A48">
            <w:pPr>
              <w:pStyle w:val="Title"/>
              <w:tabs>
                <w:tab w:val="left" w:pos="360"/>
              </w:tabs>
              <w:jc w:val="both"/>
              <w:rPr>
                <w:rFonts w:ascii="Arial" w:hAnsi="Arial" w:cs="Arial"/>
                <w:sz w:val="24"/>
                <w:szCs w:val="24"/>
              </w:rPr>
            </w:pPr>
          </w:p>
        </w:tc>
        <w:tc>
          <w:tcPr>
            <w:tcW w:w="2952" w:type="dxa"/>
            <w:tcBorders>
              <w:top w:val="single" w:sz="4" w:space="0" w:color="auto"/>
              <w:left w:val="nil"/>
              <w:bottom w:val="nil"/>
              <w:right w:val="nil"/>
            </w:tcBorders>
          </w:tcPr>
          <w:p w14:paraId="520A2AAC" w14:textId="77777777" w:rsidR="00D86D86" w:rsidRPr="006664F0" w:rsidRDefault="00D86D86" w:rsidP="00C77A48">
            <w:pPr>
              <w:pStyle w:val="Title"/>
              <w:tabs>
                <w:tab w:val="left" w:pos="360"/>
              </w:tabs>
              <w:jc w:val="both"/>
              <w:rPr>
                <w:rFonts w:ascii="Arial" w:hAnsi="Arial" w:cs="Arial"/>
                <w:sz w:val="24"/>
                <w:szCs w:val="24"/>
              </w:rPr>
            </w:pPr>
          </w:p>
        </w:tc>
      </w:tr>
      <w:tr w:rsidR="00D86D86" w:rsidRPr="006664F0" w14:paraId="33C3C83E" w14:textId="77777777" w:rsidTr="00C77A48">
        <w:tc>
          <w:tcPr>
            <w:tcW w:w="3227" w:type="dxa"/>
            <w:tcBorders>
              <w:top w:val="nil"/>
              <w:left w:val="nil"/>
              <w:bottom w:val="nil"/>
              <w:right w:val="nil"/>
            </w:tcBorders>
            <w:hideMark/>
          </w:tcPr>
          <w:p w14:paraId="784DF43F" w14:textId="59DA7153" w:rsidR="00D86D86" w:rsidRPr="006664F0" w:rsidRDefault="00D86D86" w:rsidP="00C77A48">
            <w:pPr>
              <w:pStyle w:val="Title"/>
              <w:tabs>
                <w:tab w:val="left" w:pos="360"/>
              </w:tabs>
              <w:jc w:val="both"/>
              <w:rPr>
                <w:rFonts w:ascii="Arial" w:hAnsi="Arial" w:cs="Arial"/>
                <w:b/>
                <w:bCs/>
                <w:sz w:val="24"/>
                <w:szCs w:val="24"/>
              </w:rPr>
            </w:pPr>
            <w:r w:rsidRPr="006664F0">
              <w:rPr>
                <w:rFonts w:ascii="Arial" w:hAnsi="Arial" w:cs="Arial"/>
                <w:b/>
                <w:bCs/>
                <w:sz w:val="24"/>
                <w:szCs w:val="24"/>
              </w:rPr>
              <w:t>Law 43</w:t>
            </w:r>
            <w:r>
              <w:rPr>
                <w:rFonts w:ascii="Arial" w:hAnsi="Arial" w:cs="Arial"/>
                <w:b/>
                <w:bCs/>
                <w:sz w:val="24"/>
                <w:szCs w:val="24"/>
              </w:rPr>
              <w:t>3</w:t>
            </w:r>
            <w:r w:rsidRPr="006664F0">
              <w:rPr>
                <w:rFonts w:ascii="Arial" w:hAnsi="Arial" w:cs="Arial"/>
                <w:b/>
                <w:bCs/>
                <w:sz w:val="24"/>
                <w:szCs w:val="24"/>
              </w:rPr>
              <w:t>C.001</w:t>
            </w:r>
          </w:p>
        </w:tc>
        <w:tc>
          <w:tcPr>
            <w:tcW w:w="4081" w:type="dxa"/>
            <w:tcBorders>
              <w:top w:val="nil"/>
              <w:left w:val="nil"/>
              <w:bottom w:val="nil"/>
              <w:right w:val="nil"/>
            </w:tcBorders>
            <w:hideMark/>
          </w:tcPr>
          <w:p w14:paraId="61A01995" w14:textId="77777777" w:rsidR="00D86D86" w:rsidRPr="006664F0" w:rsidRDefault="00D86D86" w:rsidP="00C77A48">
            <w:pPr>
              <w:pStyle w:val="Title"/>
              <w:tabs>
                <w:tab w:val="left" w:pos="360"/>
              </w:tabs>
              <w:jc w:val="both"/>
              <w:rPr>
                <w:rFonts w:ascii="Arial" w:hAnsi="Arial" w:cs="Arial"/>
                <w:b/>
                <w:bCs/>
                <w:sz w:val="24"/>
                <w:szCs w:val="24"/>
              </w:rPr>
            </w:pPr>
            <w:r w:rsidRPr="006664F0">
              <w:rPr>
                <w:rFonts w:ascii="Arial" w:hAnsi="Arial" w:cs="Arial"/>
                <w:b/>
                <w:bCs/>
                <w:sz w:val="24"/>
                <w:szCs w:val="24"/>
              </w:rPr>
              <w:t>Personal Injury Advocacy</w:t>
            </w:r>
          </w:p>
        </w:tc>
        <w:tc>
          <w:tcPr>
            <w:tcW w:w="2952" w:type="dxa"/>
            <w:tcBorders>
              <w:top w:val="nil"/>
              <w:left w:val="nil"/>
              <w:bottom w:val="nil"/>
              <w:right w:val="nil"/>
            </w:tcBorders>
            <w:hideMark/>
          </w:tcPr>
          <w:p w14:paraId="56025D57" w14:textId="72BC6A8F" w:rsidR="00D86D86" w:rsidRPr="006664F0" w:rsidRDefault="00D86D86" w:rsidP="00C77A48">
            <w:pPr>
              <w:pStyle w:val="Title"/>
              <w:tabs>
                <w:tab w:val="left" w:pos="360"/>
              </w:tabs>
              <w:jc w:val="both"/>
              <w:rPr>
                <w:rFonts w:ascii="Arial" w:hAnsi="Arial" w:cs="Arial"/>
                <w:b/>
                <w:bCs/>
                <w:sz w:val="24"/>
                <w:szCs w:val="24"/>
              </w:rPr>
            </w:pPr>
            <w:r w:rsidRPr="006664F0">
              <w:rPr>
                <w:rFonts w:ascii="Arial" w:hAnsi="Arial" w:cs="Arial"/>
                <w:b/>
                <w:bCs/>
                <w:sz w:val="24"/>
                <w:szCs w:val="24"/>
              </w:rPr>
              <w:t>202</w:t>
            </w:r>
            <w:r>
              <w:rPr>
                <w:rFonts w:ascii="Arial" w:hAnsi="Arial" w:cs="Arial"/>
                <w:b/>
                <w:bCs/>
                <w:sz w:val="24"/>
                <w:szCs w:val="24"/>
              </w:rPr>
              <w:t>6</w:t>
            </w:r>
            <w:r w:rsidRPr="006664F0">
              <w:rPr>
                <w:rFonts w:ascii="Arial" w:hAnsi="Arial" w:cs="Arial"/>
                <w:b/>
                <w:bCs/>
                <w:sz w:val="24"/>
                <w:szCs w:val="24"/>
              </w:rPr>
              <w:t xml:space="preserve"> Term 2</w:t>
            </w:r>
          </w:p>
        </w:tc>
      </w:tr>
      <w:tr w:rsidR="00D86D86" w:rsidRPr="006664F0" w14:paraId="2FCE13AB" w14:textId="77777777" w:rsidTr="00C77A48">
        <w:tc>
          <w:tcPr>
            <w:tcW w:w="3227" w:type="dxa"/>
            <w:tcBorders>
              <w:top w:val="nil"/>
              <w:left w:val="nil"/>
              <w:bottom w:val="nil"/>
              <w:right w:val="nil"/>
            </w:tcBorders>
          </w:tcPr>
          <w:p w14:paraId="78E5D31A" w14:textId="77777777" w:rsidR="00D86D86" w:rsidRPr="006664F0" w:rsidRDefault="00D86D86" w:rsidP="00C77A48">
            <w:pPr>
              <w:pStyle w:val="Title"/>
              <w:tabs>
                <w:tab w:val="left" w:pos="360"/>
              </w:tabs>
              <w:rPr>
                <w:rFonts w:ascii="Arial" w:hAnsi="Arial" w:cs="Arial"/>
                <w:sz w:val="24"/>
                <w:szCs w:val="24"/>
              </w:rPr>
            </w:pPr>
          </w:p>
        </w:tc>
        <w:tc>
          <w:tcPr>
            <w:tcW w:w="4081" w:type="dxa"/>
            <w:tcBorders>
              <w:top w:val="nil"/>
              <w:left w:val="nil"/>
              <w:bottom w:val="nil"/>
              <w:right w:val="nil"/>
            </w:tcBorders>
          </w:tcPr>
          <w:p w14:paraId="23E091D2" w14:textId="77777777" w:rsidR="00D86D86" w:rsidRPr="006664F0" w:rsidRDefault="00D86D86" w:rsidP="00C77A48">
            <w:pPr>
              <w:pStyle w:val="Title"/>
              <w:tabs>
                <w:tab w:val="left" w:pos="360"/>
              </w:tabs>
              <w:rPr>
                <w:rFonts w:ascii="Arial" w:hAnsi="Arial" w:cs="Arial"/>
                <w:b/>
                <w:sz w:val="24"/>
                <w:szCs w:val="24"/>
              </w:rPr>
            </w:pPr>
          </w:p>
        </w:tc>
        <w:tc>
          <w:tcPr>
            <w:tcW w:w="2952" w:type="dxa"/>
            <w:tcBorders>
              <w:top w:val="nil"/>
              <w:left w:val="nil"/>
              <w:bottom w:val="nil"/>
              <w:right w:val="nil"/>
            </w:tcBorders>
          </w:tcPr>
          <w:p w14:paraId="7946E50D" w14:textId="77777777" w:rsidR="00D86D86" w:rsidRPr="006664F0" w:rsidRDefault="00D86D86" w:rsidP="00C77A48">
            <w:pPr>
              <w:pStyle w:val="Title"/>
              <w:tabs>
                <w:tab w:val="left" w:pos="360"/>
              </w:tabs>
              <w:rPr>
                <w:rFonts w:ascii="Arial" w:hAnsi="Arial" w:cs="Arial"/>
                <w:sz w:val="24"/>
                <w:szCs w:val="24"/>
              </w:rPr>
            </w:pPr>
          </w:p>
        </w:tc>
      </w:tr>
      <w:tr w:rsidR="00D86D86" w:rsidRPr="006664F0" w14:paraId="78730FD4" w14:textId="77777777" w:rsidTr="00C77A48">
        <w:tc>
          <w:tcPr>
            <w:tcW w:w="3227" w:type="dxa"/>
            <w:tcBorders>
              <w:top w:val="nil"/>
              <w:left w:val="nil"/>
              <w:bottom w:val="nil"/>
              <w:right w:val="nil"/>
            </w:tcBorders>
            <w:hideMark/>
          </w:tcPr>
          <w:p w14:paraId="0FD548FD"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Professors:</w:t>
            </w:r>
          </w:p>
          <w:p w14:paraId="045DB86D" w14:textId="77777777" w:rsidR="00D86D86" w:rsidRPr="0095256A" w:rsidRDefault="00D86D86" w:rsidP="00C77A48">
            <w:pPr>
              <w:pStyle w:val="Title"/>
              <w:tabs>
                <w:tab w:val="left" w:pos="360"/>
              </w:tabs>
              <w:rPr>
                <w:rFonts w:ascii="Arial" w:hAnsi="Arial" w:cs="Arial"/>
                <w:bCs/>
                <w:sz w:val="24"/>
                <w:szCs w:val="24"/>
              </w:rPr>
            </w:pPr>
            <w:r w:rsidRPr="006664F0">
              <w:rPr>
                <w:rFonts w:ascii="Arial" w:hAnsi="Arial" w:cs="Arial"/>
                <w:sz w:val="24"/>
                <w:szCs w:val="24"/>
              </w:rPr>
              <w:t>SANDRA KOVACS</w:t>
            </w:r>
            <w:r>
              <w:rPr>
                <w:rFonts w:ascii="Arial" w:hAnsi="Arial" w:cs="Arial"/>
                <w:sz w:val="24"/>
                <w:szCs w:val="24"/>
              </w:rPr>
              <w:br/>
            </w:r>
            <w:r>
              <w:rPr>
                <w:rFonts w:ascii="Arial" w:hAnsi="Arial" w:cs="Arial"/>
                <w:bCs/>
                <w:sz w:val="24"/>
                <w:szCs w:val="24"/>
              </w:rPr>
              <w:t>TANYA MARTIN</w:t>
            </w:r>
          </w:p>
        </w:tc>
        <w:tc>
          <w:tcPr>
            <w:tcW w:w="4081" w:type="dxa"/>
            <w:tcBorders>
              <w:top w:val="nil"/>
              <w:left w:val="nil"/>
              <w:bottom w:val="nil"/>
              <w:right w:val="nil"/>
            </w:tcBorders>
            <w:hideMark/>
          </w:tcPr>
          <w:p w14:paraId="1A78EF03"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Tel: (604) 681-9344</w:t>
            </w:r>
          </w:p>
          <w:p w14:paraId="2C760F85"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Email</w:t>
            </w:r>
            <w:r>
              <w:rPr>
                <w:rFonts w:ascii="Arial" w:hAnsi="Arial" w:cs="Arial"/>
                <w:sz w:val="24"/>
                <w:szCs w:val="24"/>
              </w:rPr>
              <w:t xml:space="preserve">: </w:t>
            </w:r>
            <w:hyperlink r:id="rId7" w:history="1">
              <w:r w:rsidRPr="0079142E">
                <w:rPr>
                  <w:rStyle w:val="Hyperlink"/>
                  <w:rFonts w:ascii="Arial" w:hAnsi="Arial" w:cs="Arial"/>
                  <w:sz w:val="24"/>
                  <w:szCs w:val="24"/>
                </w:rPr>
                <w:t>sk@kazlaw.ca</w:t>
              </w:r>
            </w:hyperlink>
            <w:r>
              <w:rPr>
                <w:rFonts w:ascii="Arial" w:hAnsi="Arial" w:cs="Arial"/>
                <w:sz w:val="24"/>
                <w:szCs w:val="24"/>
              </w:rPr>
              <w:t xml:space="preserve"> </w:t>
            </w:r>
            <w:r w:rsidRPr="006664F0">
              <w:rPr>
                <w:rFonts w:ascii="Arial" w:hAnsi="Arial" w:cs="Arial"/>
                <w:sz w:val="24"/>
                <w:szCs w:val="24"/>
              </w:rPr>
              <w:t xml:space="preserve"> </w:t>
            </w:r>
            <w:r w:rsidRPr="006664F0">
              <w:rPr>
                <w:rFonts w:ascii="Arial" w:hAnsi="Arial" w:cs="Arial"/>
                <w:sz w:val="24"/>
                <w:szCs w:val="24"/>
              </w:rPr>
              <w:br/>
              <w:t xml:space="preserve">Email: </w:t>
            </w:r>
            <w:hyperlink r:id="rId8" w:history="1">
              <w:r w:rsidRPr="0079142E">
                <w:rPr>
                  <w:rStyle w:val="Hyperlink"/>
                  <w:rFonts w:ascii="Arial" w:hAnsi="Arial" w:cs="Arial"/>
                  <w:sz w:val="24"/>
                  <w:szCs w:val="24"/>
                </w:rPr>
                <w:t>tm</w:t>
              </w:r>
              <w:r>
                <w:rPr>
                  <w:rStyle w:val="Hyperlink"/>
                  <w:rFonts w:ascii="Arial" w:hAnsi="Arial" w:cs="Arial"/>
                  <w:sz w:val="24"/>
                  <w:szCs w:val="24"/>
                </w:rPr>
                <w:t>artin</w:t>
              </w:r>
              <w:r w:rsidRPr="0079142E">
                <w:rPr>
                  <w:rStyle w:val="Hyperlink"/>
                  <w:rFonts w:ascii="Arial" w:hAnsi="Arial" w:cs="Arial"/>
                  <w:sz w:val="24"/>
                  <w:szCs w:val="24"/>
                </w:rPr>
                <w:t>@kazlaw.ca</w:t>
              </w:r>
            </w:hyperlink>
            <w:r w:rsidRPr="006664F0">
              <w:rPr>
                <w:rFonts w:ascii="Arial" w:hAnsi="Arial" w:cs="Arial"/>
                <w:sz w:val="24"/>
                <w:szCs w:val="24"/>
              </w:rPr>
              <w:br/>
              <w:t xml:space="preserve">Office: 1900-570 Granville Street, Vancouver BC </w:t>
            </w:r>
          </w:p>
        </w:tc>
        <w:tc>
          <w:tcPr>
            <w:tcW w:w="2952" w:type="dxa"/>
            <w:tcBorders>
              <w:top w:val="nil"/>
              <w:left w:val="nil"/>
              <w:bottom w:val="nil"/>
              <w:right w:val="nil"/>
            </w:tcBorders>
          </w:tcPr>
          <w:p w14:paraId="483E3B74"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Mondays 5:00 – 8:00 pm</w:t>
            </w:r>
          </w:p>
          <w:p w14:paraId="167BBEB0"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UBC Faculty of Law</w:t>
            </w:r>
          </w:p>
          <w:p w14:paraId="244F2ED8" w14:textId="77777777" w:rsidR="00D86D86" w:rsidRPr="006664F0" w:rsidRDefault="00D86D86" w:rsidP="00C77A48">
            <w:pPr>
              <w:pStyle w:val="Title"/>
              <w:tabs>
                <w:tab w:val="left" w:pos="360"/>
              </w:tabs>
              <w:rPr>
                <w:rFonts w:ascii="Arial" w:hAnsi="Arial" w:cs="Arial"/>
                <w:b/>
                <w:sz w:val="24"/>
                <w:szCs w:val="24"/>
              </w:rPr>
            </w:pPr>
            <w:r w:rsidRPr="006664F0">
              <w:rPr>
                <w:rFonts w:ascii="Arial" w:hAnsi="Arial" w:cs="Arial"/>
                <w:sz w:val="24"/>
                <w:szCs w:val="24"/>
              </w:rPr>
              <w:t>Room 121</w:t>
            </w:r>
          </w:p>
          <w:p w14:paraId="0CC4E432" w14:textId="77777777" w:rsidR="00D86D86" w:rsidRPr="006664F0" w:rsidRDefault="00D86D86" w:rsidP="00C77A48">
            <w:pPr>
              <w:pStyle w:val="Title"/>
              <w:tabs>
                <w:tab w:val="left" w:pos="360"/>
              </w:tabs>
              <w:rPr>
                <w:rFonts w:ascii="Arial" w:hAnsi="Arial" w:cs="Arial"/>
                <w:b/>
                <w:sz w:val="24"/>
                <w:szCs w:val="24"/>
              </w:rPr>
            </w:pPr>
          </w:p>
        </w:tc>
      </w:tr>
      <w:tr w:rsidR="00D86D86" w:rsidRPr="006664F0" w14:paraId="0603036D" w14:textId="77777777" w:rsidTr="00C77A48">
        <w:tc>
          <w:tcPr>
            <w:tcW w:w="3227" w:type="dxa"/>
            <w:tcBorders>
              <w:top w:val="nil"/>
              <w:left w:val="nil"/>
              <w:bottom w:val="single" w:sz="4" w:space="0" w:color="auto"/>
              <w:right w:val="nil"/>
            </w:tcBorders>
          </w:tcPr>
          <w:p w14:paraId="713324A9" w14:textId="77777777" w:rsidR="00D86D86" w:rsidRPr="006664F0" w:rsidRDefault="00D86D86" w:rsidP="00C77A48">
            <w:pPr>
              <w:pStyle w:val="Title"/>
              <w:tabs>
                <w:tab w:val="left" w:pos="360"/>
              </w:tabs>
              <w:jc w:val="both"/>
              <w:rPr>
                <w:rFonts w:ascii="Arial" w:hAnsi="Arial" w:cs="Arial"/>
                <w:b/>
                <w:sz w:val="24"/>
                <w:szCs w:val="24"/>
              </w:rPr>
            </w:pPr>
          </w:p>
        </w:tc>
        <w:tc>
          <w:tcPr>
            <w:tcW w:w="4081" w:type="dxa"/>
            <w:tcBorders>
              <w:top w:val="nil"/>
              <w:left w:val="nil"/>
              <w:bottom w:val="single" w:sz="4" w:space="0" w:color="auto"/>
              <w:right w:val="nil"/>
            </w:tcBorders>
          </w:tcPr>
          <w:p w14:paraId="52124FEB" w14:textId="77777777" w:rsidR="00D86D86" w:rsidRPr="006664F0" w:rsidRDefault="00D86D86" w:rsidP="00C77A48">
            <w:pPr>
              <w:pStyle w:val="Title"/>
              <w:tabs>
                <w:tab w:val="left" w:pos="360"/>
              </w:tabs>
              <w:jc w:val="both"/>
              <w:rPr>
                <w:rFonts w:ascii="Arial" w:hAnsi="Arial" w:cs="Arial"/>
                <w:b/>
                <w:sz w:val="24"/>
                <w:szCs w:val="24"/>
              </w:rPr>
            </w:pPr>
          </w:p>
        </w:tc>
        <w:tc>
          <w:tcPr>
            <w:tcW w:w="2952" w:type="dxa"/>
            <w:tcBorders>
              <w:top w:val="nil"/>
              <w:left w:val="nil"/>
              <w:bottom w:val="single" w:sz="4" w:space="0" w:color="auto"/>
              <w:right w:val="nil"/>
            </w:tcBorders>
          </w:tcPr>
          <w:p w14:paraId="2390D333" w14:textId="77777777" w:rsidR="00D86D86" w:rsidRPr="006664F0" w:rsidRDefault="00D86D86" w:rsidP="00C77A48">
            <w:pPr>
              <w:pStyle w:val="Title"/>
              <w:tabs>
                <w:tab w:val="left" w:pos="360"/>
              </w:tabs>
              <w:jc w:val="both"/>
              <w:rPr>
                <w:rFonts w:ascii="Arial" w:hAnsi="Arial" w:cs="Arial"/>
                <w:b/>
                <w:sz w:val="24"/>
                <w:szCs w:val="24"/>
              </w:rPr>
            </w:pPr>
          </w:p>
        </w:tc>
      </w:tr>
    </w:tbl>
    <w:p w14:paraId="3CA73368" w14:textId="77777777" w:rsidR="00D86D86" w:rsidRPr="00D40664" w:rsidRDefault="00D86D86" w:rsidP="00D86D86">
      <w:pPr>
        <w:pStyle w:val="Title"/>
        <w:tabs>
          <w:tab w:val="left" w:pos="360"/>
        </w:tabs>
        <w:jc w:val="both"/>
        <w:rPr>
          <w:sz w:val="24"/>
          <w:szCs w:val="24"/>
        </w:rPr>
      </w:pPr>
    </w:p>
    <w:p w14:paraId="756BE935" w14:textId="642AB4B8" w:rsidR="00D86D86" w:rsidRDefault="00D86D86" w:rsidP="00D86D86">
      <w:pPr>
        <w:jc w:val="center"/>
        <w:rPr>
          <w:b/>
        </w:rPr>
      </w:pPr>
      <w:r>
        <w:rPr>
          <w:b/>
        </w:rPr>
        <w:t xml:space="preserve">WEEK </w:t>
      </w:r>
      <w:r>
        <w:rPr>
          <w:b/>
        </w:rPr>
        <w:t>10</w:t>
      </w:r>
      <w:r>
        <w:rPr>
          <w:b/>
        </w:rPr>
        <w:t xml:space="preserve">: Monday, March </w:t>
      </w:r>
      <w:r>
        <w:rPr>
          <w:b/>
        </w:rPr>
        <w:t>16</w:t>
      </w:r>
      <w:r>
        <w:rPr>
          <w:b/>
        </w:rPr>
        <w:t>, 202</w:t>
      </w:r>
      <w:r>
        <w:rPr>
          <w:b/>
        </w:rPr>
        <w:t>6</w:t>
      </w:r>
    </w:p>
    <w:p w14:paraId="2778C97F" w14:textId="3531E254" w:rsidR="00D86D86" w:rsidRPr="0080271A" w:rsidRDefault="00D86D86" w:rsidP="00D86D86">
      <w:pPr>
        <w:jc w:val="center"/>
        <w:rPr>
          <w:b/>
          <w:i/>
          <w:iCs/>
        </w:rPr>
      </w:pPr>
      <w:r>
        <w:rPr>
          <w:b/>
        </w:rPr>
        <w:br/>
      </w:r>
      <w:r>
        <w:rPr>
          <w:b/>
        </w:rPr>
        <w:t xml:space="preserve">Sexual Abuse </w:t>
      </w:r>
      <w:r>
        <w:rPr>
          <w:b/>
        </w:rPr>
        <w:t>Case Stud</w:t>
      </w:r>
      <w:r>
        <w:rPr>
          <w:b/>
        </w:rPr>
        <w:t>y</w:t>
      </w:r>
      <w:r>
        <w:rPr>
          <w:b/>
        </w:rPr>
        <w:t xml:space="preserve">: </w:t>
      </w:r>
      <w:r>
        <w:rPr>
          <w:b/>
          <w:i/>
        </w:rPr>
        <w:t xml:space="preserve">H.N. v. Redgate et al </w:t>
      </w:r>
      <w:r>
        <w:rPr>
          <w:b/>
        </w:rPr>
        <w:t xml:space="preserve"> </w:t>
      </w:r>
      <w:r>
        <w:rPr>
          <w:b/>
        </w:rPr>
        <w:br/>
      </w:r>
    </w:p>
    <w:p w14:paraId="5FD6D31E" w14:textId="77777777" w:rsidR="00D86D86" w:rsidRDefault="00D86D86" w:rsidP="00D86D86">
      <w:pPr>
        <w:pStyle w:val="ListParagraph"/>
        <w:numPr>
          <w:ilvl w:val="0"/>
          <w:numId w:val="1"/>
        </w:numPr>
        <w:spacing w:before="360" w:after="360"/>
        <w:ind w:left="720" w:hanging="720"/>
        <w:contextualSpacing w:val="0"/>
        <w:jc w:val="both"/>
        <w:rPr>
          <w:b/>
          <w:u w:val="single"/>
        </w:rPr>
      </w:pPr>
      <w:r>
        <w:rPr>
          <w:b/>
          <w:u w:val="single"/>
        </w:rPr>
        <w:t>TEACHING OBJECTIVES &amp; OVERVIEW</w:t>
      </w:r>
    </w:p>
    <w:p w14:paraId="4F6E18C3" w14:textId="77777777" w:rsidR="00D86D86" w:rsidRDefault="00D86D86" w:rsidP="00D86D86">
      <w:pPr>
        <w:spacing w:before="360" w:after="240"/>
        <w:jc w:val="both"/>
      </w:pPr>
      <w:r>
        <w:t xml:space="preserve">The goal of this week’s class is to learn how (and be inspired) to handle a sexual assault claim from opening to closing, inclusive of trial.  </w:t>
      </w:r>
    </w:p>
    <w:p w14:paraId="4DB8DC23" w14:textId="77777777" w:rsidR="00D86D86" w:rsidRPr="00A623AF" w:rsidRDefault="00D86D86" w:rsidP="00D86D86">
      <w:pPr>
        <w:tabs>
          <w:tab w:val="left" w:pos="342"/>
        </w:tabs>
        <w:spacing w:after="240" w:line="240" w:lineRule="auto"/>
        <w:jc w:val="both"/>
        <w:rPr>
          <w:rFonts w:eastAsiaTheme="minorEastAsia"/>
          <w:b/>
        </w:rPr>
      </w:pPr>
      <w:r>
        <w:rPr>
          <w:rFonts w:eastAsiaTheme="minorEastAsia"/>
          <w:b/>
        </w:rPr>
        <w:t xml:space="preserve">Readings / Audio / News Articles: </w:t>
      </w:r>
    </w:p>
    <w:p w14:paraId="47E208C0" w14:textId="77777777" w:rsidR="00D86D86" w:rsidRPr="00D86D86" w:rsidRDefault="00D86D86" w:rsidP="00D86D86">
      <w:pPr>
        <w:pStyle w:val="Default"/>
        <w:numPr>
          <w:ilvl w:val="0"/>
          <w:numId w:val="2"/>
        </w:numPr>
        <w:spacing w:after="120"/>
        <w:jc w:val="both"/>
        <w:rPr>
          <w:rFonts w:ascii="Arial" w:hAnsi="Arial" w:cs="Arial"/>
          <w:b/>
          <w:bCs/>
          <w:lang w:val="en-CA"/>
        </w:rPr>
      </w:pPr>
      <w:r w:rsidRPr="007E3404">
        <w:rPr>
          <w:rFonts w:ascii="Arial" w:hAnsi="Arial" w:cs="Arial"/>
          <w:b/>
          <w:bCs/>
          <w:i/>
          <w:lang w:val="en-CA"/>
        </w:rPr>
        <w:t>H.N. v.</w:t>
      </w:r>
      <w:r w:rsidRPr="007E3404">
        <w:rPr>
          <w:rFonts w:ascii="Arial" w:hAnsi="Arial" w:cs="Arial"/>
          <w:color w:val="212529"/>
        </w:rPr>
        <w:t xml:space="preserve"> </w:t>
      </w:r>
      <w:r w:rsidRPr="007E3404">
        <w:rPr>
          <w:rFonts w:ascii="Arial" w:hAnsi="Arial" w:cs="Arial"/>
          <w:b/>
          <w:bCs/>
          <w:i/>
          <w:iCs/>
          <w:color w:val="212529"/>
        </w:rPr>
        <w:t>School District No. 61 (Greater Victoria),</w:t>
      </w:r>
      <w:r w:rsidRPr="007E3404">
        <w:rPr>
          <w:rFonts w:ascii="Arial" w:hAnsi="Arial" w:cs="Arial"/>
          <w:b/>
          <w:bCs/>
          <w:color w:val="212529"/>
        </w:rPr>
        <w:t xml:space="preserve"> </w:t>
      </w:r>
      <w:hyperlink r:id="rId9" w:history="1">
        <w:r w:rsidRPr="007E3404">
          <w:rPr>
            <w:rStyle w:val="Hyperlink"/>
            <w:rFonts w:ascii="Arial" w:hAnsi="Arial" w:cs="Arial"/>
            <w:b/>
            <w:bCs/>
            <w:color w:val="027ABB"/>
          </w:rPr>
          <w:t>2024 BCSC 128 (</w:t>
        </w:r>
        <w:proofErr w:type="spellStart"/>
        <w:r w:rsidRPr="007E3404">
          <w:rPr>
            <w:rStyle w:val="Hyperlink"/>
            <w:rFonts w:ascii="Arial" w:hAnsi="Arial" w:cs="Arial"/>
            <w:b/>
            <w:bCs/>
            <w:color w:val="027ABB"/>
          </w:rPr>
          <w:t>CanLII</w:t>
        </w:r>
        <w:proofErr w:type="spellEnd"/>
        <w:r w:rsidRPr="007E3404">
          <w:rPr>
            <w:rStyle w:val="Hyperlink"/>
            <w:rFonts w:ascii="Arial" w:hAnsi="Arial" w:cs="Arial"/>
            <w:b/>
            <w:bCs/>
            <w:color w:val="027ABB"/>
          </w:rPr>
          <w:t>)</w:t>
        </w:r>
      </w:hyperlink>
    </w:p>
    <w:p w14:paraId="7FB83B0F" w14:textId="49118630" w:rsidR="00120C5C" w:rsidRPr="00120C5C" w:rsidRDefault="00120C5C" w:rsidP="00D86D86">
      <w:pPr>
        <w:pStyle w:val="Default"/>
        <w:numPr>
          <w:ilvl w:val="0"/>
          <w:numId w:val="2"/>
        </w:numPr>
        <w:spacing w:after="120"/>
        <w:jc w:val="both"/>
        <w:rPr>
          <w:rFonts w:ascii="Arial" w:hAnsi="Arial" w:cs="Arial"/>
          <w:b/>
          <w:bCs/>
          <w:lang w:val="en-CA"/>
        </w:rPr>
      </w:pPr>
      <w:r w:rsidRPr="00120C5C">
        <w:rPr>
          <w:rFonts w:ascii="Arial" w:hAnsi="Arial" w:cs="Arial"/>
          <w:b/>
          <w:bCs/>
          <w:i/>
          <w:iCs/>
          <w:lang w:val="en-CA"/>
        </w:rPr>
        <w:t xml:space="preserve">H.N. v. School District No. 61 (Greater Victoria), </w:t>
      </w:r>
      <w:hyperlink r:id="rId10" w:history="1">
        <w:r w:rsidRPr="00120C5C">
          <w:rPr>
            <w:rStyle w:val="Hyperlink"/>
            <w:rFonts w:ascii="Arial" w:hAnsi="Arial" w:cs="Arial"/>
            <w:b/>
            <w:bCs/>
            <w:lang w:val="en-CA"/>
          </w:rPr>
          <w:t>2025 BCCA 144 (CanLII)</w:t>
        </w:r>
      </w:hyperlink>
    </w:p>
    <w:p w14:paraId="17ED0CA2" w14:textId="72CEB9BB" w:rsidR="00D86D86" w:rsidRDefault="00D86D86" w:rsidP="00D86D86">
      <w:pPr>
        <w:pStyle w:val="Default"/>
        <w:numPr>
          <w:ilvl w:val="0"/>
          <w:numId w:val="2"/>
        </w:numPr>
        <w:spacing w:after="120"/>
        <w:jc w:val="both"/>
        <w:rPr>
          <w:rFonts w:ascii="Arial" w:hAnsi="Arial" w:cs="Arial"/>
          <w:b/>
          <w:bCs/>
          <w:lang w:val="en-CA"/>
        </w:rPr>
      </w:pPr>
      <w:r w:rsidRPr="00D86D86">
        <w:rPr>
          <w:rFonts w:ascii="Arial" w:hAnsi="Arial" w:cs="Arial"/>
          <w:b/>
          <w:bCs/>
          <w:i/>
          <w:iCs/>
          <w:lang w:val="en-CA"/>
        </w:rPr>
        <w:t>Jacobi v. Griffiths</w:t>
      </w:r>
      <w:r w:rsidRPr="00D86D86">
        <w:rPr>
          <w:rFonts w:ascii="Arial" w:hAnsi="Arial" w:cs="Arial"/>
          <w:b/>
          <w:bCs/>
          <w:lang w:val="en-CA"/>
        </w:rPr>
        <w:t xml:space="preserve">, </w:t>
      </w:r>
      <w:hyperlink r:id="rId11" w:history="1">
        <w:r>
          <w:rPr>
            <w:rStyle w:val="Hyperlink"/>
            <w:rFonts w:ascii="Arial" w:hAnsi="Arial" w:cs="Arial"/>
            <w:b/>
            <w:bCs/>
            <w:lang w:val="en-CA"/>
          </w:rPr>
          <w:t>1999 CanLII 693 (SCC), [1999] 2 SCR 570</w:t>
        </w:r>
      </w:hyperlink>
    </w:p>
    <w:p w14:paraId="0AB859AC" w14:textId="1C1CACCA" w:rsidR="00D86D86" w:rsidRPr="001E340A" w:rsidRDefault="00D86D86" w:rsidP="00D86D86">
      <w:pPr>
        <w:pStyle w:val="Default"/>
        <w:numPr>
          <w:ilvl w:val="0"/>
          <w:numId w:val="2"/>
        </w:numPr>
        <w:spacing w:after="120"/>
        <w:jc w:val="both"/>
        <w:rPr>
          <w:rFonts w:ascii="Arial" w:hAnsi="Arial" w:cs="Arial"/>
          <w:b/>
          <w:bCs/>
          <w:lang w:val="en-CA"/>
        </w:rPr>
      </w:pPr>
      <w:r w:rsidRPr="00D86D86">
        <w:rPr>
          <w:rFonts w:ascii="Arial" w:hAnsi="Arial" w:cs="Arial"/>
          <w:b/>
          <w:bCs/>
          <w:i/>
          <w:iCs/>
          <w:lang w:val="en-CA"/>
        </w:rPr>
        <w:t>Bazley v. Curry</w:t>
      </w:r>
      <w:r w:rsidRPr="00D86D86">
        <w:rPr>
          <w:rFonts w:ascii="Arial" w:hAnsi="Arial" w:cs="Arial"/>
          <w:b/>
          <w:bCs/>
          <w:lang w:val="en-CA"/>
        </w:rPr>
        <w:t xml:space="preserve">, </w:t>
      </w:r>
      <w:hyperlink r:id="rId12" w:history="1">
        <w:r>
          <w:rPr>
            <w:rStyle w:val="Hyperlink"/>
            <w:rFonts w:ascii="Arial" w:hAnsi="Arial" w:cs="Arial"/>
            <w:b/>
            <w:bCs/>
            <w:lang w:val="en-CA"/>
          </w:rPr>
          <w:t>1999 CanLII 692 (SCC), [1999] 2 SCR 534</w:t>
        </w:r>
      </w:hyperlink>
    </w:p>
    <w:p w14:paraId="46EBC2A2" w14:textId="77777777" w:rsidR="00D86D86" w:rsidRPr="00426897" w:rsidRDefault="00D86D86" w:rsidP="00D86D86">
      <w:pPr>
        <w:pStyle w:val="ListParagraph"/>
        <w:numPr>
          <w:ilvl w:val="0"/>
          <w:numId w:val="1"/>
        </w:numPr>
        <w:spacing w:before="360" w:after="360"/>
        <w:ind w:left="720" w:hanging="720"/>
        <w:contextualSpacing w:val="0"/>
        <w:jc w:val="both"/>
        <w:rPr>
          <w:b/>
          <w:u w:val="single"/>
        </w:rPr>
      </w:pPr>
      <w:r w:rsidRPr="00426897">
        <w:rPr>
          <w:b/>
          <w:u w:val="single"/>
        </w:rPr>
        <w:t>MEET THE PLAINTIFF</w:t>
      </w:r>
    </w:p>
    <w:p w14:paraId="5D969CA3" w14:textId="131D9561" w:rsidR="00D86D86" w:rsidRDefault="00D86D86" w:rsidP="00D86D86">
      <w:pPr>
        <w:pStyle w:val="ListParagraph"/>
        <w:spacing w:before="360" w:after="360"/>
        <w:contextualSpacing w:val="0"/>
        <w:jc w:val="both"/>
      </w:pPr>
      <w:r w:rsidRPr="007E3404">
        <w:t>H.N. will join us to speak about his experience as a survivor of child abuse accessing the justice system.</w:t>
      </w:r>
    </w:p>
    <w:p w14:paraId="7604069B" w14:textId="77777777" w:rsidR="00D86D86" w:rsidRDefault="00D86D86" w:rsidP="00D86D86">
      <w:pPr>
        <w:pStyle w:val="ListParagraph"/>
        <w:keepNext/>
        <w:keepLines/>
        <w:numPr>
          <w:ilvl w:val="0"/>
          <w:numId w:val="1"/>
        </w:numPr>
        <w:spacing w:before="360" w:after="360"/>
        <w:ind w:left="720" w:hanging="720"/>
        <w:contextualSpacing w:val="0"/>
        <w:jc w:val="both"/>
        <w:rPr>
          <w:b/>
          <w:u w:val="single"/>
        </w:rPr>
      </w:pPr>
      <w:r>
        <w:rPr>
          <w:b/>
          <w:u w:val="single"/>
        </w:rPr>
        <w:t>INTAKE &amp; INVESTIGATION</w:t>
      </w:r>
    </w:p>
    <w:p w14:paraId="795A5C79" w14:textId="2B7204C9" w:rsidR="00D86D86" w:rsidRPr="00D86D86" w:rsidRDefault="00D86D86" w:rsidP="00D86D86">
      <w:pPr>
        <w:ind w:firstLine="720"/>
        <w:jc w:val="both"/>
      </w:pPr>
      <w:r w:rsidRPr="00D86D86">
        <w:t xml:space="preserve">We will hear from </w:t>
      </w:r>
      <w:r>
        <w:t>H.N.</w:t>
      </w:r>
      <w:r w:rsidRPr="00D86D86">
        <w:t xml:space="preserve"> about his experience of retaining us to pursue legal action. </w:t>
      </w:r>
    </w:p>
    <w:p w14:paraId="1A9A877E" w14:textId="77777777" w:rsidR="00D86D86" w:rsidRDefault="00D86D86" w:rsidP="00D86D86">
      <w:pPr>
        <w:pStyle w:val="ListParagraph"/>
        <w:ind w:left="1440"/>
        <w:jc w:val="both"/>
      </w:pPr>
    </w:p>
    <w:p w14:paraId="3DB5BFCB" w14:textId="70F87577" w:rsidR="00D86D86" w:rsidRPr="00336FE3" w:rsidRDefault="00D86D86" w:rsidP="00D86D86">
      <w:pPr>
        <w:pStyle w:val="ListParagraph"/>
        <w:spacing w:before="360" w:after="360"/>
        <w:ind w:left="1440"/>
        <w:contextualSpacing w:val="0"/>
        <w:jc w:val="both"/>
      </w:pPr>
      <w:r>
        <w:t xml:space="preserve"> </w:t>
      </w:r>
    </w:p>
    <w:p w14:paraId="79DC0C52" w14:textId="77777777" w:rsidR="00D86D86" w:rsidRDefault="00D86D86" w:rsidP="00D86D86">
      <w:pPr>
        <w:pStyle w:val="ListParagraph"/>
        <w:numPr>
          <w:ilvl w:val="0"/>
          <w:numId w:val="1"/>
        </w:numPr>
        <w:spacing w:before="360" w:after="360"/>
        <w:ind w:left="720" w:hanging="720"/>
        <w:contextualSpacing w:val="0"/>
        <w:jc w:val="both"/>
        <w:rPr>
          <w:b/>
          <w:u w:val="single"/>
        </w:rPr>
      </w:pPr>
      <w:r>
        <w:rPr>
          <w:b/>
          <w:u w:val="single"/>
        </w:rPr>
        <w:lastRenderedPageBreak/>
        <w:t>EXAMINATION FOR DISCOVERY</w:t>
      </w:r>
    </w:p>
    <w:p w14:paraId="09D18CAB" w14:textId="16E87AAD" w:rsidR="00D86D86" w:rsidRDefault="00D86D86" w:rsidP="00D86D86">
      <w:pPr>
        <w:ind w:firstLine="720"/>
        <w:jc w:val="both"/>
      </w:pPr>
      <w:r>
        <w:t>H.N. will speak with you about his experience of</w:t>
      </w:r>
      <w:r>
        <w:t xml:space="preserve"> the examination for</w:t>
      </w:r>
      <w:r>
        <w:t xml:space="preserve"> discovery. </w:t>
      </w:r>
    </w:p>
    <w:p w14:paraId="01CD31FB" w14:textId="6616A4C3" w:rsidR="00D86D86" w:rsidRDefault="00D86D86" w:rsidP="00D86D86">
      <w:pPr>
        <w:pStyle w:val="ListParagraph"/>
        <w:keepNext/>
        <w:keepLines/>
        <w:numPr>
          <w:ilvl w:val="0"/>
          <w:numId w:val="1"/>
        </w:numPr>
        <w:spacing w:before="360" w:after="360"/>
        <w:ind w:left="720" w:hanging="720"/>
        <w:contextualSpacing w:val="0"/>
        <w:jc w:val="both"/>
        <w:rPr>
          <w:b/>
          <w:u w:val="single"/>
        </w:rPr>
      </w:pPr>
      <w:r>
        <w:rPr>
          <w:b/>
          <w:u w:val="single"/>
        </w:rPr>
        <w:t>THEORY / THEME OF THE CASE</w:t>
      </w:r>
    </w:p>
    <w:p w14:paraId="38030F0D" w14:textId="77777777" w:rsidR="00D86D86" w:rsidRDefault="00D86D86" w:rsidP="00D86D86">
      <w:pPr>
        <w:pStyle w:val="ListParagraph"/>
        <w:numPr>
          <w:ilvl w:val="1"/>
          <w:numId w:val="3"/>
        </w:numPr>
        <w:spacing w:before="360" w:after="360"/>
        <w:contextualSpacing w:val="0"/>
        <w:jc w:val="both"/>
      </w:pPr>
      <w:r w:rsidRPr="00B913C4">
        <w:t>Liability themes</w:t>
      </w:r>
    </w:p>
    <w:p w14:paraId="68652749" w14:textId="77777777" w:rsidR="00D86D86" w:rsidRDefault="00D86D86" w:rsidP="00D86D86">
      <w:pPr>
        <w:pStyle w:val="ListParagraph"/>
        <w:numPr>
          <w:ilvl w:val="2"/>
          <w:numId w:val="3"/>
        </w:numPr>
        <w:spacing w:before="360" w:after="360"/>
        <w:contextualSpacing w:val="0"/>
        <w:jc w:val="both"/>
      </w:pPr>
      <w:r>
        <w:t>The school board was vicariously liable for Redgate’s actions.  Redgate was a retired teacher brought in by the school board for the purpose of helping HN with his novel project, which was meant to be an enrichment to his curriculum (students were required to write a short story, H.N. wanted to write a novel).  The grooming began at the school, during school hours, and on school property.  Redgate was tasked with helping HN in an intimate, one on one setting in an empty classroom.</w:t>
      </w:r>
    </w:p>
    <w:p w14:paraId="0BA109E4" w14:textId="77777777" w:rsidR="00D86D86" w:rsidRDefault="00D86D86" w:rsidP="00D86D86">
      <w:pPr>
        <w:pStyle w:val="ListParagraph"/>
        <w:numPr>
          <w:ilvl w:val="2"/>
          <w:numId w:val="3"/>
        </w:numPr>
        <w:spacing w:before="360" w:after="360"/>
        <w:contextualSpacing w:val="0"/>
        <w:jc w:val="both"/>
      </w:pPr>
      <w:r>
        <w:t xml:space="preserve">The school board was also liable in negligence for facilitating the interactions between Redgate and HN, failing to properly vet Redgate, or take any steps to investigate when it (through HN’s teacher </w:t>
      </w:r>
      <w:proofErr w:type="spellStart"/>
      <w:r>
        <w:t>Haisell</w:t>
      </w:r>
      <w:proofErr w:type="spellEnd"/>
      <w:r>
        <w:t>) became aware that Redgate had started meeting with HN at his private residence.</w:t>
      </w:r>
    </w:p>
    <w:p w14:paraId="3C0538A9" w14:textId="77777777" w:rsidR="00D86D86" w:rsidRDefault="00D86D86" w:rsidP="00D86D86">
      <w:pPr>
        <w:pStyle w:val="ListParagraph"/>
        <w:numPr>
          <w:ilvl w:val="1"/>
          <w:numId w:val="3"/>
        </w:numPr>
        <w:spacing w:before="360" w:after="360"/>
        <w:contextualSpacing w:val="0"/>
        <w:jc w:val="both"/>
      </w:pPr>
      <w:proofErr w:type="gramStart"/>
      <w:r w:rsidRPr="00B913C4">
        <w:t>Damages</w:t>
      </w:r>
      <w:proofErr w:type="gramEnd"/>
      <w:r w:rsidRPr="00B913C4">
        <w:t xml:space="preserve"> themes</w:t>
      </w:r>
    </w:p>
    <w:p w14:paraId="2F5B7427" w14:textId="77777777" w:rsidR="00D86D86" w:rsidRDefault="00D86D86" w:rsidP="00D86D86">
      <w:pPr>
        <w:pStyle w:val="ListParagraph"/>
        <w:numPr>
          <w:ilvl w:val="2"/>
          <w:numId w:val="3"/>
        </w:numPr>
        <w:spacing w:before="360" w:after="360"/>
        <w:contextualSpacing w:val="0"/>
        <w:jc w:val="both"/>
      </w:pPr>
      <w:r>
        <w:t xml:space="preserve">Harms: Redgate’s chronic and prolonged abuse and psychological interference in HN’s life caused HN to suffer from childhood-onset posttraumatic stress disorder, a catastrophic injury analogous to a brain injury.  Hallmark symptoms of this injury in HN’s life included: moral injury, avoidance behaviors (of triggers, including education), recklessness, apathy, low mood, decreased interest, distorted beliefs, difficulty concentrating, cognitive impairment. </w:t>
      </w:r>
    </w:p>
    <w:p w14:paraId="6283BDF4" w14:textId="77777777" w:rsidR="00D86D86" w:rsidRPr="00B913C4" w:rsidRDefault="00D86D86" w:rsidP="00D86D86">
      <w:pPr>
        <w:pStyle w:val="ListParagraph"/>
        <w:numPr>
          <w:ilvl w:val="2"/>
          <w:numId w:val="3"/>
        </w:numPr>
        <w:spacing w:before="360" w:after="360"/>
        <w:contextualSpacing w:val="0"/>
        <w:jc w:val="both"/>
      </w:pPr>
      <w:r>
        <w:t xml:space="preserve">Losses: HN went from a devoted student with a zest for learning – and a desire to be a lawyer, as stated in his novel at age 12 – to a listless young man with no direction.  He started skipping school, smoking pot, and only attended one year of university after his mother enrolled him.  He engaged in reckless behaviors and travelled, and then worked labour jobs, including welding dumpsters. HN’s twin brother went on to become a professor of economics, earning $200,000 plus a year plus a pension.  HN, on the other hand, </w:t>
      </w:r>
      <w:r>
        <w:lastRenderedPageBreak/>
        <w:t>ultimately became a business owner in a creative line of work, but he has struggled to maintain a steady stream of profits.  But for the abuse, HN would have become an academic like his brother, or a lawyer.</w:t>
      </w:r>
    </w:p>
    <w:p w14:paraId="399BCD55" w14:textId="07D0A2C5" w:rsidR="00D86D86" w:rsidRDefault="00D86D86" w:rsidP="00D86D86">
      <w:pPr>
        <w:pStyle w:val="ListParagraph"/>
        <w:keepNext/>
        <w:keepLines/>
        <w:numPr>
          <w:ilvl w:val="0"/>
          <w:numId w:val="1"/>
        </w:numPr>
        <w:spacing w:before="360" w:after="360"/>
        <w:ind w:left="720" w:hanging="720"/>
        <w:contextualSpacing w:val="0"/>
        <w:jc w:val="both"/>
        <w:rPr>
          <w:b/>
          <w:u w:val="single"/>
        </w:rPr>
      </w:pPr>
      <w:r>
        <w:rPr>
          <w:b/>
          <w:u w:val="single"/>
        </w:rPr>
        <w:t>EXPERT EVIDENCE</w:t>
      </w:r>
    </w:p>
    <w:p w14:paraId="2921090D" w14:textId="77777777" w:rsidR="00D86D86" w:rsidRPr="006E3A99" w:rsidRDefault="00D86D86" w:rsidP="00D86D86">
      <w:pPr>
        <w:spacing w:before="360" w:after="360"/>
        <w:ind w:left="720"/>
        <w:jc w:val="both"/>
        <w:rPr>
          <w:b/>
        </w:rPr>
      </w:pPr>
      <w:r w:rsidRPr="006E3A99">
        <w:rPr>
          <w:b/>
        </w:rPr>
        <w:t>Liability</w:t>
      </w:r>
    </w:p>
    <w:p w14:paraId="73650306" w14:textId="77777777" w:rsidR="00D86D86" w:rsidRDefault="00D86D86" w:rsidP="00D86D86">
      <w:pPr>
        <w:pStyle w:val="ListParagraph"/>
        <w:numPr>
          <w:ilvl w:val="0"/>
          <w:numId w:val="3"/>
        </w:numPr>
        <w:spacing w:before="240" w:after="240"/>
        <w:jc w:val="both"/>
      </w:pPr>
      <w:r>
        <w:t>Dr. Elizabeth Jeglic, psychologist (grooming).</w:t>
      </w:r>
    </w:p>
    <w:p w14:paraId="0531EC14" w14:textId="77777777" w:rsidR="00D86D86" w:rsidRDefault="00D86D86" w:rsidP="00D86D86">
      <w:pPr>
        <w:pStyle w:val="ListParagraph"/>
        <w:spacing w:before="240" w:after="240"/>
        <w:jc w:val="both"/>
      </w:pPr>
      <w:r>
        <w:t>Dr. Jeglic is a renowned expert on childhood sexual grooming from the United States.  Her testimony in HN’s case was the first time she had ever testified in Canada.</w:t>
      </w:r>
    </w:p>
    <w:p w14:paraId="673A6825" w14:textId="77777777" w:rsidR="00D86D86" w:rsidRDefault="00D86D86" w:rsidP="00D86D86">
      <w:pPr>
        <w:pStyle w:val="ListParagraph"/>
        <w:spacing w:before="240" w:after="240"/>
        <w:jc w:val="both"/>
      </w:pPr>
    </w:p>
    <w:p w14:paraId="46BA4C13" w14:textId="77777777" w:rsidR="00D86D86" w:rsidRDefault="00D86D86" w:rsidP="00D86D86">
      <w:pPr>
        <w:pStyle w:val="ListParagraph"/>
        <w:spacing w:before="240" w:after="240"/>
        <w:jc w:val="both"/>
      </w:pPr>
      <w:r>
        <w:t>We introduced her report to buttress our argument on vicarious liability of the school board:</w:t>
      </w:r>
    </w:p>
    <w:p w14:paraId="74055FAC" w14:textId="77777777" w:rsidR="00D86D86" w:rsidRDefault="00D86D86" w:rsidP="00D86D86">
      <w:pPr>
        <w:pStyle w:val="ListParagraph"/>
        <w:spacing w:before="240" w:after="240"/>
        <w:jc w:val="both"/>
      </w:pPr>
    </w:p>
    <w:p w14:paraId="0D344379" w14:textId="77777777" w:rsidR="00D86D86" w:rsidRDefault="00D86D86" w:rsidP="00D86D86">
      <w:pPr>
        <w:pStyle w:val="ListParagraph"/>
        <w:spacing w:before="240" w:after="240"/>
        <w:jc w:val="both"/>
      </w:pPr>
      <w:r>
        <w:rPr>
          <w:noProof/>
          <w14:ligatures w14:val="standardContextual"/>
        </w:rPr>
        <w:drawing>
          <wp:inline distT="0" distB="0" distL="0" distR="0" wp14:anchorId="44667FB3" wp14:editId="2B3DDB42">
            <wp:extent cx="4810125" cy="1781175"/>
            <wp:effectExtent l="0" t="0" r="9525" b="9525"/>
            <wp:docPr id="1425310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104" name="Picture 1" descr="A close-up of a text&#10;&#10;Description automatically generated"/>
                    <pic:cNvPicPr/>
                  </pic:nvPicPr>
                  <pic:blipFill>
                    <a:blip r:embed="rId13"/>
                    <a:stretch>
                      <a:fillRect/>
                    </a:stretch>
                  </pic:blipFill>
                  <pic:spPr>
                    <a:xfrm>
                      <a:off x="0" y="0"/>
                      <a:ext cx="4810125" cy="1781175"/>
                    </a:xfrm>
                    <a:prstGeom prst="rect">
                      <a:avLst/>
                    </a:prstGeom>
                  </pic:spPr>
                </pic:pic>
              </a:graphicData>
            </a:graphic>
          </wp:inline>
        </w:drawing>
      </w:r>
    </w:p>
    <w:p w14:paraId="290D2158" w14:textId="77777777" w:rsidR="00D86D86" w:rsidRDefault="00D86D86" w:rsidP="00D86D86">
      <w:pPr>
        <w:pStyle w:val="ListParagraph"/>
        <w:spacing w:before="240" w:after="240"/>
        <w:jc w:val="both"/>
      </w:pPr>
      <w:r>
        <w:rPr>
          <w:noProof/>
          <w14:ligatures w14:val="standardContextual"/>
        </w:rPr>
        <w:drawing>
          <wp:inline distT="0" distB="0" distL="0" distR="0" wp14:anchorId="7F1135A9" wp14:editId="5244878F">
            <wp:extent cx="4676775" cy="2190750"/>
            <wp:effectExtent l="0" t="0" r="9525" b="0"/>
            <wp:docPr id="1899455706"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55706" name="Picture 1" descr="A close-up of a text&#10;&#10;Description automatically generated"/>
                    <pic:cNvPicPr/>
                  </pic:nvPicPr>
                  <pic:blipFill>
                    <a:blip r:embed="rId14"/>
                    <a:stretch>
                      <a:fillRect/>
                    </a:stretch>
                  </pic:blipFill>
                  <pic:spPr>
                    <a:xfrm>
                      <a:off x="0" y="0"/>
                      <a:ext cx="4676775" cy="2190750"/>
                    </a:xfrm>
                    <a:prstGeom prst="rect">
                      <a:avLst/>
                    </a:prstGeom>
                  </pic:spPr>
                </pic:pic>
              </a:graphicData>
            </a:graphic>
          </wp:inline>
        </w:drawing>
      </w:r>
    </w:p>
    <w:p w14:paraId="77C50322" w14:textId="77777777" w:rsidR="00D86D86" w:rsidRDefault="00D86D86" w:rsidP="00D86D86">
      <w:pPr>
        <w:spacing w:before="360" w:after="360"/>
        <w:ind w:left="720"/>
        <w:jc w:val="both"/>
        <w:rPr>
          <w:bCs/>
        </w:rPr>
      </w:pPr>
      <w:r>
        <w:rPr>
          <w:bCs/>
        </w:rPr>
        <w:t xml:space="preserve">Justice Coval accepted Dr. </w:t>
      </w:r>
      <w:proofErr w:type="spellStart"/>
      <w:r>
        <w:rPr>
          <w:bCs/>
        </w:rPr>
        <w:t>Jeglic’s</w:t>
      </w:r>
      <w:proofErr w:type="spellEnd"/>
      <w:r>
        <w:rPr>
          <w:bCs/>
        </w:rPr>
        <w:t xml:space="preserve"> opinion in its entirety, but he only relied upon it for one legal question: the limitation period expiry concern.  He did not apply her opinion at all to his vicarious liability analysis, which is why the opinion was </w:t>
      </w:r>
      <w:r>
        <w:rPr>
          <w:bCs/>
        </w:rPr>
        <w:lastRenderedPageBreak/>
        <w:t xml:space="preserve">proffered, and he concluded the school board was not vicariously liable for Redgate’s conduct.  </w:t>
      </w:r>
    </w:p>
    <w:p w14:paraId="5C162B35" w14:textId="77777777" w:rsidR="00D86D86" w:rsidRPr="00A9211D" w:rsidRDefault="00D86D86" w:rsidP="00D86D86">
      <w:pPr>
        <w:spacing w:before="360" w:after="360"/>
        <w:ind w:left="720"/>
        <w:jc w:val="both"/>
        <w:rPr>
          <w:bCs/>
        </w:rPr>
      </w:pPr>
      <w:r>
        <w:rPr>
          <w:bCs/>
        </w:rPr>
        <w:t xml:space="preserve">Is this an appealable error?  Vicarious liability is a question of mixed fact and law. </w:t>
      </w:r>
    </w:p>
    <w:p w14:paraId="598473D5" w14:textId="77777777" w:rsidR="00D86D86" w:rsidRPr="006E3A99" w:rsidRDefault="00D86D86" w:rsidP="00D86D86">
      <w:pPr>
        <w:spacing w:before="360" w:after="360"/>
        <w:ind w:left="720"/>
        <w:jc w:val="both"/>
        <w:rPr>
          <w:b/>
        </w:rPr>
      </w:pPr>
      <w:r w:rsidRPr="006E3A99">
        <w:rPr>
          <w:b/>
        </w:rPr>
        <w:t>Damages</w:t>
      </w:r>
    </w:p>
    <w:p w14:paraId="495C9B94" w14:textId="77777777" w:rsidR="00D86D86" w:rsidRDefault="00D86D86" w:rsidP="00D86D86">
      <w:pPr>
        <w:pStyle w:val="ListParagraph"/>
        <w:numPr>
          <w:ilvl w:val="0"/>
          <w:numId w:val="3"/>
        </w:numPr>
        <w:spacing w:before="360" w:after="360"/>
        <w:jc w:val="both"/>
      </w:pPr>
      <w:r>
        <w:t>Dr. Shaohua Lu, psychiatrist</w:t>
      </w:r>
    </w:p>
    <w:p w14:paraId="00C95782" w14:textId="77777777" w:rsidR="00D86D86" w:rsidRDefault="00D86D86" w:rsidP="00D86D86">
      <w:pPr>
        <w:pStyle w:val="ListParagraph"/>
        <w:spacing w:before="360" w:after="360"/>
        <w:jc w:val="both"/>
      </w:pPr>
    </w:p>
    <w:p w14:paraId="472EC86E" w14:textId="77777777" w:rsidR="00D86D86" w:rsidRDefault="00D86D86" w:rsidP="00D86D86">
      <w:pPr>
        <w:pStyle w:val="ListParagraph"/>
        <w:spacing w:before="360" w:after="360"/>
        <w:jc w:val="both"/>
      </w:pPr>
      <w:r>
        <w:t>Justice Coval also accepted the evidence of our psychiatrist, Dr. Lu, who opined that HN suffered an indelible and permanent injury that will be with him for the remainder of his life.</w:t>
      </w:r>
    </w:p>
    <w:p w14:paraId="68CBF243" w14:textId="77777777" w:rsidR="00D86D86" w:rsidRDefault="00D86D86" w:rsidP="00D86D86">
      <w:pPr>
        <w:pStyle w:val="scjnumber"/>
        <w:spacing w:before="0" w:beforeAutospacing="0" w:after="120" w:afterAutospacing="0" w:line="360" w:lineRule="atLeast"/>
        <w:rPr>
          <w:rFonts w:ascii="Arial" w:hAnsi="Arial" w:cs="Arial"/>
          <w:color w:val="000000"/>
        </w:rPr>
      </w:pPr>
      <w:r>
        <w:rPr>
          <w:rFonts w:ascii="Arial" w:hAnsi="Arial" w:cs="Arial"/>
          <w:color w:val="000000"/>
        </w:rPr>
        <w:t>[</w:t>
      </w:r>
      <w:bookmarkStart w:id="0" w:name="par71"/>
      <w:r>
        <w:rPr>
          <w:rFonts w:ascii="Arial" w:hAnsi="Arial" w:cs="Arial"/>
          <w:color w:val="000000"/>
        </w:rPr>
        <w:t>71</w:t>
      </w:r>
      <w:bookmarkEnd w:id="0"/>
      <w:r>
        <w:rPr>
          <w:rFonts w:ascii="Arial" w:hAnsi="Arial" w:cs="Arial"/>
          <w:color w:val="000000"/>
        </w:rPr>
        <w:t>]</w:t>
      </w:r>
      <w:r>
        <w:rPr>
          <w:color w:val="000000"/>
          <w:sz w:val="14"/>
          <w:szCs w:val="14"/>
        </w:rPr>
        <w:t>      </w:t>
      </w:r>
      <w:r>
        <w:rPr>
          <w:rFonts w:ascii="Arial" w:hAnsi="Arial" w:cs="Arial"/>
          <w:color w:val="000000"/>
        </w:rPr>
        <w:t>Dr. Lu wrote this about the long-lasting effects of childhood sexual abuse:</w:t>
      </w:r>
    </w:p>
    <w:p w14:paraId="7319D286" w14:textId="77777777" w:rsidR="00D86D86" w:rsidRDefault="00D86D86" w:rsidP="00D86D86">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Childhood abuse, sexual or psychological, can have lasting physical, emotional, and cognitive impacts on the victim. The adverse impacts of childhood abuse can persist for decades, well into adulthood, affecting all aspects of one’s daily life. It has been established in psychiatric literature that childhood abuse is a major risk factor for the development of posttraumatic stress disorder (PTSD), addiction and other serious psychiatric illness. Victims of childhood sexual abuse have higher incidents of mood and anxiety disorders, addiction, personality disorders, general health concerns, and suicide. Childhood abuse is associated with negative education, economic, and social outcomes. Childhood abuse can cause cognitive changes due to the chronic elevated stress and autonomic dysfunction.</w:t>
      </w:r>
    </w:p>
    <w:p w14:paraId="40AE44E2" w14:textId="77777777" w:rsidR="00D86D86" w:rsidRDefault="00D86D86" w:rsidP="00D86D86">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 In short, every facet in a person’s life can be adversely and potentially permanently affected by the cumulative negative consequences of childhood sexual abuse. [H.N.] describes these features and experiences.</w:t>
      </w:r>
    </w:p>
    <w:p w14:paraId="789562A5" w14:textId="77777777" w:rsidR="00D86D86" w:rsidRDefault="00D86D86" w:rsidP="00D86D86">
      <w:pPr>
        <w:pStyle w:val="scjquote"/>
        <w:spacing w:before="0" w:beforeAutospacing="0" w:after="120" w:afterAutospacing="0"/>
        <w:ind w:left="720" w:right="720"/>
        <w:rPr>
          <w:rFonts w:ascii="Arial" w:hAnsi="Arial" w:cs="Arial"/>
          <w:color w:val="000000"/>
          <w:sz w:val="22"/>
          <w:szCs w:val="22"/>
        </w:rPr>
      </w:pPr>
      <w:r>
        <w:rPr>
          <w:rFonts w:ascii="Arial" w:hAnsi="Arial" w:cs="Arial"/>
          <w:color w:val="000000"/>
          <w:sz w:val="22"/>
          <w:szCs w:val="22"/>
        </w:rPr>
        <w:t>…</w:t>
      </w:r>
    </w:p>
    <w:p w14:paraId="15F65E43" w14:textId="77777777" w:rsidR="00D86D86" w:rsidRPr="00950821" w:rsidRDefault="00D86D86" w:rsidP="00D86D86">
      <w:pPr>
        <w:pStyle w:val="scjquote"/>
        <w:spacing w:before="0" w:beforeAutospacing="0" w:after="360" w:afterAutospacing="0"/>
        <w:ind w:left="720" w:right="720"/>
        <w:rPr>
          <w:color w:val="000000"/>
          <w:sz w:val="22"/>
          <w:szCs w:val="22"/>
        </w:rPr>
      </w:pPr>
      <w:r>
        <w:rPr>
          <w:rFonts w:ascii="Arial" w:hAnsi="Arial" w:cs="Arial"/>
          <w:color w:val="000000"/>
          <w:sz w:val="22"/>
          <w:szCs w:val="22"/>
        </w:rPr>
        <w:t xml:space="preserve">Collectively, [H.N.]’s abuse leaves an indelible mark on his emotional, psychological, moral, cognitive, and personality development. [H.N.] describes a loss of trust and self-confidence for much of his life. He describes a lifelong pattern of indecisiveness, a lack of personal agency, and anger in response to authority. His emotional expression has been affected. He used emotional isolation and avoidance </w:t>
      </w:r>
      <w:proofErr w:type="gramStart"/>
      <w:r>
        <w:rPr>
          <w:rFonts w:ascii="Arial" w:hAnsi="Arial" w:cs="Arial"/>
          <w:color w:val="000000"/>
          <w:sz w:val="22"/>
          <w:szCs w:val="22"/>
        </w:rPr>
        <w:t>as a way to</w:t>
      </w:r>
      <w:proofErr w:type="gramEnd"/>
      <w:r>
        <w:rPr>
          <w:rFonts w:ascii="Arial" w:hAnsi="Arial" w:cs="Arial"/>
          <w:color w:val="000000"/>
          <w:sz w:val="22"/>
          <w:szCs w:val="22"/>
        </w:rPr>
        <w:t xml:space="preserve"> manage the lingering aftermaths of his years long abuse.</w:t>
      </w:r>
    </w:p>
    <w:p w14:paraId="278AEFCE" w14:textId="77777777" w:rsidR="00D86D86" w:rsidRPr="00285007" w:rsidRDefault="00D86D86" w:rsidP="00D86D86">
      <w:pPr>
        <w:pStyle w:val="ListParagraph"/>
        <w:spacing w:before="360" w:after="360"/>
        <w:jc w:val="both"/>
      </w:pPr>
    </w:p>
    <w:p w14:paraId="181E85E9" w14:textId="77777777" w:rsidR="00D86D86" w:rsidRDefault="00D86D86" w:rsidP="00D86D86">
      <w:pPr>
        <w:pStyle w:val="ListParagraph"/>
        <w:keepNext/>
        <w:keepLines/>
        <w:numPr>
          <w:ilvl w:val="0"/>
          <w:numId w:val="1"/>
        </w:numPr>
        <w:spacing w:before="360" w:after="360"/>
        <w:ind w:left="720" w:hanging="720"/>
        <w:contextualSpacing w:val="0"/>
        <w:jc w:val="both"/>
        <w:rPr>
          <w:b/>
          <w:u w:val="single"/>
        </w:rPr>
      </w:pPr>
      <w:r>
        <w:rPr>
          <w:b/>
          <w:u w:val="single"/>
        </w:rPr>
        <w:t>TRIAL</w:t>
      </w:r>
    </w:p>
    <w:p w14:paraId="360A305F" w14:textId="77777777" w:rsidR="00D86D86" w:rsidRPr="006E3A99" w:rsidRDefault="00D86D86" w:rsidP="00D86D86">
      <w:pPr>
        <w:pStyle w:val="ListParagraph"/>
        <w:numPr>
          <w:ilvl w:val="0"/>
          <w:numId w:val="3"/>
        </w:numPr>
        <w:spacing w:before="360" w:after="360"/>
        <w:ind w:left="1080"/>
        <w:contextualSpacing w:val="0"/>
        <w:jc w:val="both"/>
        <w:rPr>
          <w:b/>
        </w:rPr>
      </w:pPr>
      <w:r>
        <w:rPr>
          <w:b/>
        </w:rPr>
        <w:t xml:space="preserve">Lay </w:t>
      </w:r>
      <w:r w:rsidRPr="006E3A99">
        <w:rPr>
          <w:b/>
        </w:rPr>
        <w:t>Witnesses – Examination in Chief</w:t>
      </w:r>
    </w:p>
    <w:p w14:paraId="3FEE703F" w14:textId="4D010FF6" w:rsidR="00D86D86" w:rsidRDefault="00D86D86" w:rsidP="00D86D86">
      <w:pPr>
        <w:pStyle w:val="ListParagraph"/>
        <w:spacing w:before="360" w:after="360"/>
        <w:ind w:left="1440"/>
        <w:contextualSpacing w:val="0"/>
        <w:jc w:val="both"/>
      </w:pPr>
      <w:r>
        <w:t>H.N. will discuss his experience testifying.</w:t>
      </w:r>
      <w:r>
        <w:t xml:space="preserve"> We will share portions of his transcript.</w:t>
      </w:r>
    </w:p>
    <w:p w14:paraId="39550285" w14:textId="77777777" w:rsidR="00D86D86" w:rsidRDefault="00D86D86" w:rsidP="00D86D86">
      <w:pPr>
        <w:pStyle w:val="ListParagraph"/>
        <w:numPr>
          <w:ilvl w:val="0"/>
          <w:numId w:val="3"/>
        </w:numPr>
        <w:spacing w:before="360" w:after="360"/>
        <w:ind w:left="1080"/>
        <w:contextualSpacing w:val="0"/>
        <w:jc w:val="both"/>
        <w:rPr>
          <w:b/>
        </w:rPr>
      </w:pPr>
      <w:r w:rsidRPr="006E3A99">
        <w:rPr>
          <w:b/>
        </w:rPr>
        <w:lastRenderedPageBreak/>
        <w:t>Cross-examination</w:t>
      </w:r>
    </w:p>
    <w:p w14:paraId="0D4E75CC" w14:textId="07D23997" w:rsidR="00D86D86" w:rsidRDefault="00D86D86" w:rsidP="00D86D86">
      <w:pPr>
        <w:pStyle w:val="ListParagraph"/>
        <w:numPr>
          <w:ilvl w:val="1"/>
          <w:numId w:val="3"/>
        </w:numPr>
        <w:spacing w:before="360" w:after="360"/>
        <w:contextualSpacing w:val="0"/>
        <w:jc w:val="both"/>
        <w:rPr>
          <w:bCs/>
        </w:rPr>
      </w:pPr>
      <w:r>
        <w:rPr>
          <w:bCs/>
        </w:rPr>
        <w:t>At HN’s trial, two of the School Board witnesses changed their story from discovery to trial, on material facts.  We impeached them, but Justice Coval was not convinced of any credibility issues (paras. 80 – 85).</w:t>
      </w:r>
      <w:r>
        <w:rPr>
          <w:bCs/>
        </w:rPr>
        <w:t xml:space="preserve"> We will walk through their transcripts.</w:t>
      </w:r>
    </w:p>
    <w:p w14:paraId="0F060653" w14:textId="77777777" w:rsidR="00D86D86" w:rsidRPr="006E3A99" w:rsidRDefault="00D86D86" w:rsidP="00D86D86">
      <w:pPr>
        <w:pStyle w:val="ListParagraph"/>
        <w:numPr>
          <w:ilvl w:val="0"/>
          <w:numId w:val="3"/>
        </w:numPr>
        <w:spacing w:before="360" w:after="360"/>
        <w:contextualSpacing w:val="0"/>
        <w:jc w:val="both"/>
        <w:rPr>
          <w:b/>
        </w:rPr>
      </w:pPr>
      <w:r w:rsidRPr="006E3A99">
        <w:rPr>
          <w:b/>
        </w:rPr>
        <w:t xml:space="preserve">Closing Argument </w:t>
      </w:r>
    </w:p>
    <w:p w14:paraId="65D1424B" w14:textId="77777777" w:rsidR="00D86D86" w:rsidRPr="006E3A99" w:rsidRDefault="00D86D86" w:rsidP="00D86D86">
      <w:pPr>
        <w:pStyle w:val="ListParagraph"/>
        <w:keepNext/>
        <w:keepLines/>
        <w:numPr>
          <w:ilvl w:val="0"/>
          <w:numId w:val="3"/>
        </w:numPr>
        <w:spacing w:before="360" w:after="360"/>
        <w:contextualSpacing w:val="0"/>
        <w:jc w:val="both"/>
        <w:rPr>
          <w:b/>
        </w:rPr>
      </w:pPr>
      <w:r w:rsidRPr="006E3A99">
        <w:rPr>
          <w:b/>
        </w:rPr>
        <w:t>Reply Argument</w:t>
      </w:r>
    </w:p>
    <w:p w14:paraId="27E91E93" w14:textId="77777777" w:rsidR="00D86D86" w:rsidRDefault="00D86D86" w:rsidP="00D86D86">
      <w:pPr>
        <w:spacing w:before="360" w:after="360"/>
        <w:jc w:val="both"/>
      </w:pPr>
      <w:r>
        <w:t>In argument, Redgate’s estate attempted to argue that some of HN’s claims were barred by a limitation period.  We addressed this issue in our reply as follows:</w:t>
      </w:r>
    </w:p>
    <w:p w14:paraId="21DE2588" w14:textId="77777777" w:rsidR="00D86D86" w:rsidRPr="00762FCC" w:rsidRDefault="00D86D86" w:rsidP="00D86D86">
      <w:pPr>
        <w:spacing w:before="120"/>
        <w:ind w:left="547"/>
        <w:jc w:val="both"/>
        <w:rPr>
          <w:b/>
          <w:bCs/>
          <w:i/>
          <w:iCs/>
        </w:rPr>
      </w:pPr>
      <w:r w:rsidRPr="00762FCC">
        <w:rPr>
          <w:b/>
          <w:bCs/>
          <w:i/>
          <w:iCs/>
        </w:rPr>
        <w:t>The claims are not time-barred</w:t>
      </w:r>
    </w:p>
    <w:p w14:paraId="62528A14" w14:textId="77777777" w:rsidR="00D86D86" w:rsidRDefault="00D86D86" w:rsidP="00D86D86">
      <w:pPr>
        <w:pStyle w:val="ListParagraph"/>
        <w:numPr>
          <w:ilvl w:val="0"/>
          <w:numId w:val="15"/>
        </w:numPr>
        <w:spacing w:before="120" w:after="200" w:line="276" w:lineRule="auto"/>
        <w:ind w:left="1094" w:hanging="547"/>
        <w:contextualSpacing w:val="0"/>
        <w:jc w:val="both"/>
      </w:pPr>
      <w:r>
        <w:t xml:space="preserve">H.N.’s claims arising from the Abuse, including all aspects involving psychological coercion, are not time barred by operation of s. 3(1)(i) of the </w:t>
      </w:r>
      <w:r>
        <w:rPr>
          <w:i/>
          <w:iCs/>
        </w:rPr>
        <w:t>Limitation Act</w:t>
      </w:r>
      <w:r>
        <w:t xml:space="preserve">, which specifically exempts claims relating to misconduct of a sexual nature.  </w:t>
      </w:r>
    </w:p>
    <w:p w14:paraId="1387F989" w14:textId="77777777" w:rsidR="00D86D86" w:rsidRDefault="00D86D86" w:rsidP="00D86D86">
      <w:pPr>
        <w:pStyle w:val="ListParagraph"/>
        <w:numPr>
          <w:ilvl w:val="0"/>
          <w:numId w:val="15"/>
        </w:numPr>
        <w:spacing w:before="120" w:after="200" w:line="276" w:lineRule="auto"/>
        <w:ind w:left="1094" w:hanging="547"/>
        <w:contextualSpacing w:val="0"/>
        <w:jc w:val="both"/>
      </w:pPr>
      <w:r>
        <w:t xml:space="preserve">Counsel for Redgate’s estate cites </w:t>
      </w:r>
      <w:r>
        <w:rPr>
          <w:i/>
          <w:iCs/>
        </w:rPr>
        <w:t>Blackwater v. Plint</w:t>
      </w:r>
      <w:r>
        <w:t xml:space="preserve">, </w:t>
      </w:r>
      <w:hyperlink r:id="rId15" w:history="1">
        <w:r w:rsidRPr="005D395B">
          <w:rPr>
            <w:rStyle w:val="Hyperlink"/>
          </w:rPr>
          <w:t>2005 SCC 58</w:t>
        </w:r>
      </w:hyperlink>
      <w:r>
        <w:t xml:space="preserve">, in support of the argument that the court should somehow engage in a “slicing” exercise to disentangle the time-barred acts from the exempted acts.  This is not a sustainable argument.  The comments in </w:t>
      </w:r>
      <w:r>
        <w:rPr>
          <w:i/>
          <w:iCs/>
        </w:rPr>
        <w:t>Blackwater</w:t>
      </w:r>
      <w:r>
        <w:t xml:space="preserve"> were directed at those claims arising from physical abuse endured at a residential school.  At the time of </w:t>
      </w:r>
      <w:r>
        <w:rPr>
          <w:i/>
          <w:iCs/>
        </w:rPr>
        <w:t>Blackwater</w:t>
      </w:r>
      <w:r>
        <w:t xml:space="preserve">, such claims were not exempted from the standard </w:t>
      </w:r>
      <w:proofErr w:type="gramStart"/>
      <w:r>
        <w:t>2 year</w:t>
      </w:r>
      <w:proofErr w:type="gramEnd"/>
      <w:r>
        <w:t xml:space="preserve"> limitation period.  In response to </w:t>
      </w:r>
      <w:r>
        <w:rPr>
          <w:i/>
          <w:iCs/>
        </w:rPr>
        <w:t>Blackwater</w:t>
      </w:r>
      <w:r>
        <w:t xml:space="preserve">, the legislature amended the </w:t>
      </w:r>
      <w:r>
        <w:rPr>
          <w:i/>
          <w:iCs/>
        </w:rPr>
        <w:t>Limitation Act</w:t>
      </w:r>
      <w:r>
        <w:t xml:space="preserve"> to exempt such claims – the </w:t>
      </w:r>
      <w:proofErr w:type="gramStart"/>
      <w:r>
        <w:t>modern day</w:t>
      </w:r>
      <w:proofErr w:type="gramEnd"/>
      <w:r>
        <w:t xml:space="preserve"> s. 3(1)(k).  </w:t>
      </w:r>
      <w:r>
        <w:rPr>
          <w:i/>
          <w:iCs/>
        </w:rPr>
        <w:t>Blackwater</w:t>
      </w:r>
      <w:r>
        <w:t xml:space="preserve"> does not apply here – misconduct of a sexual nature has historically, even in the time of </w:t>
      </w:r>
      <w:r>
        <w:rPr>
          <w:i/>
          <w:iCs/>
        </w:rPr>
        <w:t>Blackwater</w:t>
      </w:r>
      <w:r>
        <w:t>, been exempted.</w:t>
      </w:r>
    </w:p>
    <w:p w14:paraId="627CAF32" w14:textId="77777777" w:rsidR="00D86D86" w:rsidRDefault="00D86D86" w:rsidP="00D86D86">
      <w:pPr>
        <w:pStyle w:val="ListParagraph"/>
        <w:numPr>
          <w:ilvl w:val="0"/>
          <w:numId w:val="15"/>
        </w:numPr>
        <w:spacing w:before="120" w:after="200" w:line="276" w:lineRule="auto"/>
        <w:ind w:left="1094" w:hanging="547"/>
        <w:contextualSpacing w:val="0"/>
        <w:jc w:val="both"/>
      </w:pPr>
      <w:r>
        <w:t xml:space="preserve">Similarly, any reliance on </w:t>
      </w:r>
      <w:r>
        <w:rPr>
          <w:i/>
          <w:iCs/>
        </w:rPr>
        <w:t>C.L.H. v. K.A.G.</w:t>
      </w:r>
      <w:r>
        <w:t xml:space="preserve">, </w:t>
      </w:r>
      <w:hyperlink r:id="rId16" w:history="1">
        <w:r w:rsidRPr="005D395B">
          <w:rPr>
            <w:rStyle w:val="Hyperlink"/>
          </w:rPr>
          <w:t>2022 BCSC 994</w:t>
        </w:r>
      </w:hyperlink>
      <w:r>
        <w:t xml:space="preserve">, which did not expressly decide whether threats of physical harm constituted misconduct of a sexual nature is misplaced.  In the present case, the court has the benefit of Dr. </w:t>
      </w:r>
      <w:proofErr w:type="spellStart"/>
      <w:r>
        <w:t>Jeglic’s</w:t>
      </w:r>
      <w:proofErr w:type="spellEnd"/>
      <w:r>
        <w:t xml:space="preserve"> opinion, which was not challenged by either defendant.  Redgate’s threats of committing suicide are expressly part of the sexual grooming continuum Dr. Jeglic describes in her report.  The plaintiff accordingly invites the court to find the totality of Redgate’s conduct to be misconduct of a sexual nature.</w:t>
      </w:r>
    </w:p>
    <w:p w14:paraId="6459F45E" w14:textId="77777777" w:rsidR="00D86D86" w:rsidRPr="0019300B" w:rsidRDefault="00D86D86" w:rsidP="00D86D86">
      <w:pPr>
        <w:pStyle w:val="ListParagraph"/>
        <w:spacing w:before="120" w:after="200" w:line="276" w:lineRule="auto"/>
        <w:ind w:left="0"/>
        <w:contextualSpacing w:val="0"/>
        <w:jc w:val="both"/>
      </w:pPr>
      <w:r w:rsidRPr="0019300B">
        <w:lastRenderedPageBreak/>
        <w:t xml:space="preserve">Justice Coval applied Dr. </w:t>
      </w:r>
      <w:proofErr w:type="spellStart"/>
      <w:r w:rsidRPr="0019300B">
        <w:t>Jeglic’s</w:t>
      </w:r>
      <w:proofErr w:type="spellEnd"/>
      <w:r w:rsidRPr="0019300B">
        <w:t xml:space="preserve"> opinion to dismiss Redgate’s argument on the limitation period (para. 90), but he did not refer to her report when dealing with vicarious liability, despite our closing argument engaging the Jeglic opinion in the vicarious liability analysis:</w:t>
      </w:r>
    </w:p>
    <w:p w14:paraId="6A00A6DE"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If a tort of grooming is seen as necessary to appropriately recognize the fact that the tortious conduct here was one continuum of entangled tortious behavior, as opposed to separate, siloed tortious conduct, the School Board is vicariously liable for the whole of that continuum of harm. </w:t>
      </w:r>
    </w:p>
    <w:p w14:paraId="360E81FE" w14:textId="77777777" w:rsidR="00D86D86" w:rsidRPr="0049065C" w:rsidRDefault="00D86D86" w:rsidP="00D86D86">
      <w:pPr>
        <w:pStyle w:val="ListParagraph"/>
        <w:numPr>
          <w:ilvl w:val="0"/>
          <w:numId w:val="15"/>
        </w:numPr>
        <w:spacing w:before="120" w:after="200" w:line="276" w:lineRule="auto"/>
        <w:ind w:left="1134" w:hanging="547"/>
        <w:contextualSpacing w:val="0"/>
        <w:jc w:val="both"/>
      </w:pPr>
      <w:r w:rsidRPr="0049065C">
        <w:t xml:space="preserve">Mr. Redgate was engaged by Mr. </w:t>
      </w:r>
      <w:proofErr w:type="spellStart"/>
      <w:r w:rsidRPr="0049065C">
        <w:t>Haisell</w:t>
      </w:r>
      <w:proofErr w:type="spellEnd"/>
      <w:r w:rsidRPr="0049065C">
        <w:t xml:space="preserve"> as a volunteer for the defendant School Board, and his service was intended to form part of the school curriculum for </w:t>
      </w:r>
      <w:r>
        <w:t>H.N</w:t>
      </w:r>
      <w:r w:rsidRPr="0049065C">
        <w:t xml:space="preserve">.  The school’s office administrators were aware of the tutoring arrangement, in that Mr. Redgate was assigned a classroom each day he attended to tutor </w:t>
      </w:r>
      <w:r>
        <w:t>H.N</w:t>
      </w:r>
      <w:r w:rsidRPr="0049065C">
        <w:t xml:space="preserve">. </w:t>
      </w:r>
    </w:p>
    <w:p w14:paraId="659DC3F7" w14:textId="77777777" w:rsidR="00D86D86" w:rsidRPr="0049065C" w:rsidRDefault="00D86D86" w:rsidP="00D86D86">
      <w:pPr>
        <w:pStyle w:val="ListParagraph"/>
        <w:numPr>
          <w:ilvl w:val="0"/>
          <w:numId w:val="15"/>
        </w:numPr>
        <w:spacing w:before="120" w:after="200" w:line="276" w:lineRule="auto"/>
        <w:ind w:left="1134" w:hanging="547"/>
        <w:contextualSpacing w:val="0"/>
        <w:jc w:val="both"/>
      </w:pPr>
      <w:r w:rsidRPr="0049065C">
        <w:t xml:space="preserve">The School Board (a) benefited from Mr. Redgate’s volunteerism, and (b) exposed </w:t>
      </w:r>
      <w:r>
        <w:t>H.N.</w:t>
      </w:r>
      <w:r w:rsidRPr="0049065C">
        <w:t xml:space="preserve"> to the risk of grooming and sexual harm </w:t>
      </w:r>
      <w:r w:rsidRPr="0049065C">
        <w:rPr>
          <w:i/>
        </w:rPr>
        <w:t xml:space="preserve">because </w:t>
      </w:r>
      <w:r w:rsidRPr="0049065C">
        <w:t xml:space="preserve">he was permitted by Mr. </w:t>
      </w:r>
      <w:proofErr w:type="spellStart"/>
      <w:r w:rsidRPr="0049065C">
        <w:t>Haisell</w:t>
      </w:r>
      <w:proofErr w:type="spellEnd"/>
      <w:r w:rsidRPr="0049065C">
        <w:t xml:space="preserve"> to tutor </w:t>
      </w:r>
      <w:r>
        <w:t>H.N.</w:t>
      </w:r>
      <w:r w:rsidRPr="0049065C">
        <w:t xml:space="preserve"> unsupervised, both at the school premises, and also in Redgate’s private residence – both essential features to the continuum of harm described by Dr. Jeglic in her evidence.</w:t>
      </w:r>
    </w:p>
    <w:p w14:paraId="7073BAA3" w14:textId="77777777" w:rsidR="00D86D86" w:rsidRPr="0049065C" w:rsidRDefault="00D86D86" w:rsidP="00D86D86">
      <w:pPr>
        <w:pStyle w:val="ListParagraph"/>
        <w:numPr>
          <w:ilvl w:val="0"/>
          <w:numId w:val="15"/>
        </w:numPr>
        <w:spacing w:before="120" w:after="200" w:line="276" w:lineRule="auto"/>
        <w:ind w:left="1134" w:hanging="547"/>
        <w:contextualSpacing w:val="0"/>
        <w:jc w:val="both"/>
      </w:pPr>
      <w:r w:rsidRPr="0049065C">
        <w:t xml:space="preserve">Policy considerations justify the imposition of vicarious liability for Redgate’s Abuse.  If the court must choose which of the School Board or </w:t>
      </w:r>
      <w:r>
        <w:t>H.N.</w:t>
      </w:r>
      <w:r w:rsidRPr="0049065C">
        <w:t xml:space="preserve"> should bear </w:t>
      </w:r>
      <w:r>
        <w:t>the</w:t>
      </w:r>
      <w:r w:rsidRPr="0049065C">
        <w:t xml:space="preserve"> losses from the Abuse, it should not hesitate in its answer.  It is fairer to place the loss on the party that introduced the risk and had the better opportunity to control it: the School Board.</w:t>
      </w:r>
    </w:p>
    <w:p w14:paraId="22CBEC3D" w14:textId="77777777" w:rsidR="00D86D86" w:rsidRPr="00423F65" w:rsidRDefault="00D86D86" w:rsidP="00D86D86">
      <w:pPr>
        <w:pStyle w:val="ListParagraph"/>
        <w:ind w:left="1134"/>
        <w:contextualSpacing w:val="0"/>
        <w:jc w:val="right"/>
      </w:pPr>
      <w:r w:rsidRPr="0049065C">
        <w:rPr>
          <w:i/>
          <w:iCs/>
        </w:rPr>
        <w:t>Bazley, supra</w:t>
      </w:r>
      <w:r w:rsidRPr="0049065C">
        <w:t xml:space="preserve"> at para 54, BOA Volume 1, Tab 3.</w:t>
      </w:r>
    </w:p>
    <w:p w14:paraId="04329EBB"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The companion decision to </w:t>
      </w:r>
      <w:r>
        <w:rPr>
          <w:i/>
          <w:iCs/>
        </w:rPr>
        <w:t xml:space="preserve">Bazley, </w:t>
      </w:r>
      <w:r w:rsidRPr="00EF4847">
        <w:rPr>
          <w:i/>
          <w:iCs/>
        </w:rPr>
        <w:t xml:space="preserve">Jacobi v. Griffiths, </w:t>
      </w:r>
      <w:hyperlink r:id="rId17" w:history="1">
        <w:r w:rsidRPr="005D395B">
          <w:rPr>
            <w:rStyle w:val="Hyperlink"/>
          </w:rPr>
          <w:t>1999 CanLII 693 (SCC)</w:t>
        </w:r>
      </w:hyperlink>
      <w:r w:rsidRPr="00EF4847">
        <w:t xml:space="preserve">, </w:t>
      </w:r>
      <w:hyperlink r:id="rId18" w:history="1">
        <w:r w:rsidRPr="005D395B">
          <w:rPr>
            <w:rStyle w:val="Hyperlink"/>
          </w:rPr>
          <w:t>[1999] 2 SCR 570</w:t>
        </w:r>
      </w:hyperlink>
      <w:r>
        <w:t xml:space="preserve"> is </w:t>
      </w:r>
      <w:r w:rsidRPr="00EF4847">
        <w:rPr>
          <w:u w:val="single"/>
        </w:rPr>
        <w:t>near</w:t>
      </w:r>
      <w:r>
        <w:t xml:space="preserve"> analogous. In that matter, the perpetrator was a program director for a Boys and Girls Club in Vernon. He took the two plaintiffs off premises, to his private home, and sexually battered them in his home (and in a van).  The Supreme Court of Canada was split, 4:3, in the result.  McLachlin, J., as she then was, delivered the dissenting reasons.  Of note, she addresses at para. 21 the reality of Griffiths’ “careful plan of entrapment” (i.e. grooming) that could not be ignored on the whole of the facts. She insisted that the analysis must go beyond “when and where” the wrongful act occurred. She concluded that all the relevant factors suggested that Griffiths’ torts were, in fact, linked to his employment. </w:t>
      </w:r>
    </w:p>
    <w:p w14:paraId="250012C0"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As noted by the late, great, and notorious Ruth Bader Ginsburg, “a dissenter’s hope is that they are writing not for today, but for tomorrow.”  </w:t>
      </w:r>
    </w:p>
    <w:p w14:paraId="0EDC06AD" w14:textId="77777777" w:rsidR="00D86D86" w:rsidRDefault="00D86D86" w:rsidP="00D86D86">
      <w:pPr>
        <w:pStyle w:val="ListParagraph"/>
        <w:numPr>
          <w:ilvl w:val="0"/>
          <w:numId w:val="15"/>
        </w:numPr>
        <w:spacing w:before="120" w:after="200" w:line="276" w:lineRule="auto"/>
        <w:ind w:left="1134" w:hanging="547"/>
        <w:contextualSpacing w:val="0"/>
        <w:jc w:val="both"/>
      </w:pPr>
      <w:r>
        <w:lastRenderedPageBreak/>
        <w:t xml:space="preserve">McLachlin, J’s reasons were delivered 24 years ago. Tomorrow has come.  Her dissent is compelling, particularly </w:t>
      </w:r>
      <w:proofErr w:type="gramStart"/>
      <w:r>
        <w:t>in light of</w:t>
      </w:r>
      <w:proofErr w:type="gramEnd"/>
      <w:r>
        <w:t xml:space="preserve"> Binnie, J.’s qualifying comments in his majority reasons, that the imposition of vicarious liability on the facts of </w:t>
      </w:r>
      <w:r>
        <w:rPr>
          <w:i/>
          <w:iCs/>
        </w:rPr>
        <w:t>Jacobi</w:t>
      </w:r>
      <w:r>
        <w:t xml:space="preserve"> would “overshoot the existing judicial consensus about appropriate limits of an employer’s no-fault liability.”  Binnie, J.’s concerns about floodgates and non-profits voting with their feet are also unwarranted: in the 24 years since </w:t>
      </w:r>
      <w:r>
        <w:rPr>
          <w:i/>
          <w:iCs/>
        </w:rPr>
        <w:t xml:space="preserve">Bazley </w:t>
      </w:r>
      <w:r>
        <w:t xml:space="preserve">and </w:t>
      </w:r>
      <w:r>
        <w:rPr>
          <w:i/>
          <w:iCs/>
        </w:rPr>
        <w:t>Jacobi</w:t>
      </w:r>
      <w:r>
        <w:t xml:space="preserve">, judicial notice can be taken of the fact that child-centred organizations (with the notable exception of schools) have universally adopted the “Rule of Two” or “Two-Deep Rule”, a self-explanatory rule used from Coquitlam Minor Hockey to Australian Scouts, which provides an effective barrier and interrupter to what Dr. Jeglic identifies as a critical stage of the grooming process: access and isolation. </w:t>
      </w:r>
    </w:p>
    <w:p w14:paraId="29F8D3CB"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Even if the Court feels compelled to defer to the majority reasons in </w:t>
      </w:r>
      <w:r>
        <w:rPr>
          <w:i/>
          <w:iCs/>
        </w:rPr>
        <w:t>Jacobi</w:t>
      </w:r>
      <w:r>
        <w:t xml:space="preserve"> as a standing precedent, the facts are nonetheless distinguishable on a significant and meaningful basis under the analysis of “substantial connection”. </w:t>
      </w:r>
    </w:p>
    <w:p w14:paraId="49E1EE62"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First and foremost, in this action – unlike in </w:t>
      </w:r>
      <w:r>
        <w:rPr>
          <w:i/>
          <w:iCs/>
        </w:rPr>
        <w:t>Jacobi</w:t>
      </w:r>
      <w:r>
        <w:t xml:space="preserve"> – we have expert evidence of the connection between the School and the Abuse: we have the expert opinion from Dr. Jeglic about child sexual grooming. Second, and importantly, w</w:t>
      </w:r>
      <w:r w:rsidRPr="006976D0">
        <w:t xml:space="preserve">hile Griffiths was encouraged to cultivate a positive of trust and to mentor vulnerable youth – which McLachlin, J. says meets the test in </w:t>
      </w:r>
      <w:r w:rsidRPr="006976D0">
        <w:rPr>
          <w:i/>
          <w:iCs/>
        </w:rPr>
        <w:t>Bazley</w:t>
      </w:r>
      <w:r w:rsidRPr="006976D0">
        <w:t xml:space="preserve"> – he was not encouraged to do so one-on-one, but rather in a group setting. </w:t>
      </w:r>
      <w:r>
        <w:t xml:space="preserve"> </w:t>
      </w:r>
    </w:p>
    <w:p w14:paraId="7B83050F" w14:textId="77777777" w:rsidR="00D86D86" w:rsidRDefault="00D86D86" w:rsidP="00D86D86">
      <w:pPr>
        <w:pStyle w:val="ListParagraph"/>
        <w:numPr>
          <w:ilvl w:val="0"/>
          <w:numId w:val="15"/>
        </w:numPr>
        <w:spacing w:before="120" w:after="200" w:line="276" w:lineRule="auto"/>
        <w:ind w:left="1134" w:hanging="547"/>
        <w:contextualSpacing w:val="0"/>
        <w:jc w:val="both"/>
      </w:pPr>
      <w:r>
        <w:t xml:space="preserve">In the within matter, </w:t>
      </w:r>
      <w:proofErr w:type="spellStart"/>
      <w:r>
        <w:t>Haisell</w:t>
      </w:r>
      <w:proofErr w:type="spellEnd"/>
      <w:r>
        <w:t xml:space="preserve"> and the School Board gave Redgate the exact environment he needed to “entrap” Henry Norris: he was permitted to meet with him for extended periods of time, alone, one-on-one, without any supervision whatsoever. This isolation created the requisite environment for the harm to materialize.</w:t>
      </w:r>
    </w:p>
    <w:p w14:paraId="6C65FA05" w14:textId="77777777" w:rsidR="00D86D86" w:rsidRPr="0049065C" w:rsidRDefault="00D86D86" w:rsidP="00D86D86">
      <w:pPr>
        <w:pStyle w:val="ListParagraph"/>
        <w:numPr>
          <w:ilvl w:val="0"/>
          <w:numId w:val="15"/>
        </w:numPr>
        <w:spacing w:before="120" w:after="200" w:line="276" w:lineRule="auto"/>
        <w:ind w:left="1134" w:hanging="426"/>
        <w:contextualSpacing w:val="0"/>
        <w:jc w:val="both"/>
      </w:pPr>
      <w:r w:rsidRPr="0049065C">
        <w:t xml:space="preserve">The UK courts have recognized, albeit in a somewhat unclear manner, that the concept of grooming is often a feature of child sexual abuse.  In </w:t>
      </w:r>
      <w:r w:rsidRPr="0049065C">
        <w:rPr>
          <w:i/>
          <w:iCs/>
        </w:rPr>
        <w:t>FZO v. London Borough of Haringey</w:t>
      </w:r>
      <w:r w:rsidRPr="0049065C">
        <w:t xml:space="preserve">, the plaintiff brought a claim against his former teacher seeking damages for sexual abuse assaults committed on the plaintiff when he was a student.  The facts in </w:t>
      </w:r>
      <w:r w:rsidRPr="0049065C">
        <w:rPr>
          <w:i/>
          <w:iCs/>
        </w:rPr>
        <w:t>FZO</w:t>
      </w:r>
      <w:r w:rsidRPr="0049065C">
        <w:t xml:space="preserve"> are analogous to </w:t>
      </w:r>
      <w:r>
        <w:t>H.N.’s</w:t>
      </w:r>
      <w:r w:rsidRPr="0049065C">
        <w:t xml:space="preserve"> case.</w:t>
      </w:r>
    </w:p>
    <w:p w14:paraId="1F358F79" w14:textId="77777777" w:rsidR="00D86D86" w:rsidRPr="0049065C" w:rsidRDefault="00D86D86" w:rsidP="00D86D86">
      <w:pPr>
        <w:pStyle w:val="ListParagraph"/>
        <w:spacing w:before="120"/>
        <w:ind w:left="1134"/>
        <w:contextualSpacing w:val="0"/>
        <w:jc w:val="right"/>
      </w:pPr>
      <w:r w:rsidRPr="0049065C">
        <w:rPr>
          <w:i/>
          <w:iCs/>
        </w:rPr>
        <w:t>FZO v. London Borough of Haringey</w:t>
      </w:r>
      <w:r w:rsidRPr="0049065C">
        <w:t xml:space="preserve">, </w:t>
      </w:r>
      <w:r>
        <w:br/>
      </w:r>
      <w:r w:rsidRPr="0049065C">
        <w:t>[2018] EWHC 3584 (QB) (“</w:t>
      </w:r>
      <w:r w:rsidRPr="0049065C">
        <w:rPr>
          <w:i/>
          <w:iCs/>
        </w:rPr>
        <w:t>FZO</w:t>
      </w:r>
      <w:r w:rsidRPr="0049065C">
        <w:t xml:space="preserve">”), aff’d </w:t>
      </w:r>
      <w:hyperlink r:id="rId19" w:history="1">
        <w:r w:rsidRPr="004B2212">
          <w:rPr>
            <w:rStyle w:val="Hyperlink"/>
          </w:rPr>
          <w:t>[2020] EWCA Civ 180</w:t>
        </w:r>
      </w:hyperlink>
    </w:p>
    <w:p w14:paraId="64CDDFF5" w14:textId="77777777" w:rsidR="00D86D86" w:rsidRPr="0049065C" w:rsidRDefault="00D86D86" w:rsidP="00D86D86">
      <w:pPr>
        <w:pStyle w:val="ListParagraph"/>
        <w:numPr>
          <w:ilvl w:val="0"/>
          <w:numId w:val="15"/>
        </w:numPr>
        <w:spacing w:before="120" w:after="200" w:line="276" w:lineRule="auto"/>
        <w:ind w:left="1134" w:hanging="426"/>
        <w:contextualSpacing w:val="0"/>
        <w:jc w:val="both"/>
      </w:pPr>
      <w:r w:rsidRPr="0049065C">
        <w:t xml:space="preserve">In 1980, FZO was 13 ½ years old and a student at the defendant’s school.  Having been previously victimized by another individual, the defendant teacher, who was then the plaintiff’s PE teacher, subsequently provided emotional support to the plaintiff and suggested they be friends.  This </w:t>
      </w:r>
      <w:r w:rsidRPr="0049065C">
        <w:lastRenderedPageBreak/>
        <w:t>emotional support escalated to seemingly benign physical contact – a hand on the leg and a kiss on the cheek – followed by a trip to the defendant’s home wherein the defendant anally raped the plaintiff.  This conduct became a regular occurrence.  The plaintiff felt unable to resist the sexual activity, or alert anyone to it, because the defendant teacher “had convinced him that his life would be dreadful without him”.  The sexual contact continued as between the plaintiff and the defendant until the plaintiff was aged 21 years old and had long since ceased being a student.</w:t>
      </w:r>
    </w:p>
    <w:p w14:paraId="4915B363" w14:textId="77777777" w:rsidR="00D86D86" w:rsidRPr="0049065C" w:rsidRDefault="00D86D86" w:rsidP="00D86D86">
      <w:pPr>
        <w:pStyle w:val="ListParagraph"/>
        <w:numPr>
          <w:ilvl w:val="0"/>
          <w:numId w:val="15"/>
        </w:numPr>
        <w:spacing w:before="120" w:after="200" w:line="276" w:lineRule="auto"/>
        <w:ind w:left="1134" w:hanging="426"/>
        <w:contextualSpacing w:val="0"/>
        <w:jc w:val="both"/>
      </w:pPr>
      <w:r w:rsidRPr="0049065C">
        <w:t>The defendant institution argued it was not vicariously liable for the conduct that continued after the plaintiff ceased being a student.  Justice Cutts rejected this argument.  While the English test for vicarious liability differs from the Canadian formulation of the test as discussed below, Justice Cutts’ comments with respect to grooming are of some assistance [emphasis added]:</w:t>
      </w:r>
    </w:p>
    <w:p w14:paraId="608FC0B1" w14:textId="77777777" w:rsidR="00D86D86" w:rsidRPr="004B2212" w:rsidRDefault="00D86D86" w:rsidP="00D86D86">
      <w:pPr>
        <w:tabs>
          <w:tab w:val="left" w:pos="8647"/>
        </w:tabs>
        <w:spacing w:before="100" w:beforeAutospacing="1" w:after="100" w:afterAutospacing="1" w:line="240" w:lineRule="auto"/>
        <w:ind w:left="1134" w:right="713"/>
        <w:jc w:val="both"/>
        <w:rPr>
          <w:rFonts w:eastAsia="Times New Roman"/>
          <w:i/>
          <w:iCs/>
          <w:color w:val="000000"/>
        </w:rPr>
      </w:pPr>
      <w:r w:rsidRPr="004B2212">
        <w:rPr>
          <w:rFonts w:eastAsia="Times New Roman"/>
          <w:i/>
          <w:iCs/>
          <w:color w:val="000000"/>
        </w:rPr>
        <w:t xml:space="preserve">I have no hesitation in finding that the grooming and manipulation of the claimant by the first defendant was closely connected with his pastoral duties as a teacher. He sought out the claimant after the Monteil rape, asking him what was wrong. Because he was a teacher and trusted the claimant told him. In these circumstances the first defendant clearly misused his position in a way which injured the claimant. Was that connection between the first defendant's employment and his wrongdoing broken when the claimant first left Highgate Wood to go to Franklin House School? I cannot see that it was. </w:t>
      </w:r>
      <w:r w:rsidRPr="004B2212">
        <w:rPr>
          <w:rFonts w:eastAsia="Times New Roman"/>
          <w:i/>
          <w:iCs/>
          <w:color w:val="000000"/>
          <w:u w:val="single"/>
        </w:rPr>
        <w:t>The grooming of him took place when he was a pupil and, as I have found, continued to operate upon him until 1988</w:t>
      </w:r>
      <w:r w:rsidRPr="004B2212">
        <w:rPr>
          <w:rFonts w:eastAsia="Times New Roman"/>
          <w:i/>
          <w:iCs/>
          <w:color w:val="000000"/>
        </w:rPr>
        <w:t>. The claimant continued to go on the sailing trips with his old school which the first defendant supervised. When he returned as a pupil to the school the abuse continued whilst the first defendant was still a teacher there. In my view it makes no difference that he did not directly teach the claimant at this time. He was employed as a teacher. As such he was responsible for the welfare of the children at the school whether he personally taught them or not.</w:t>
      </w:r>
    </w:p>
    <w:p w14:paraId="05E03D71" w14:textId="77777777" w:rsidR="00D86D86" w:rsidRPr="004B2212" w:rsidRDefault="00D86D86" w:rsidP="00D86D86">
      <w:pPr>
        <w:tabs>
          <w:tab w:val="left" w:pos="8647"/>
        </w:tabs>
        <w:spacing w:before="100" w:beforeAutospacing="1" w:after="100" w:afterAutospacing="1" w:line="240" w:lineRule="auto"/>
        <w:ind w:left="1134" w:right="713"/>
        <w:jc w:val="both"/>
        <w:rPr>
          <w:rFonts w:eastAsia="Times New Roman"/>
          <w:i/>
          <w:iCs/>
          <w:color w:val="000000"/>
        </w:rPr>
      </w:pPr>
      <w:r w:rsidRPr="004B2212">
        <w:rPr>
          <w:rFonts w:eastAsia="Times New Roman"/>
          <w:i/>
          <w:iCs/>
          <w:color w:val="000000"/>
        </w:rPr>
        <w:t xml:space="preserve">I have considered carefully whether the connection between the first defendant's employment and his wrongful conduct was broken after the claimant left Highgate Wood in 1984 such that it would no longer be right for the second defendant to be held liable for them after that time. In my view it was not. </w:t>
      </w:r>
      <w:r w:rsidRPr="004B2212">
        <w:rPr>
          <w:rFonts w:eastAsia="Times New Roman"/>
          <w:i/>
          <w:iCs/>
          <w:color w:val="000000"/>
          <w:u w:val="single"/>
        </w:rPr>
        <w:t>The later assaults, as I have found them to be, were simply a continuation of the behaviour that commenced while and because the first defendant was a teacher. This conduct is thus indivisible from that which occurred while the claimant was a pupil at the school</w:t>
      </w:r>
      <w:r w:rsidRPr="004B2212">
        <w:rPr>
          <w:rFonts w:eastAsia="Times New Roman"/>
          <w:i/>
          <w:iCs/>
          <w:color w:val="000000"/>
        </w:rPr>
        <w:t>. I consider it just in those circumstances for the second defendant to be held liable for it.</w:t>
      </w:r>
    </w:p>
    <w:p w14:paraId="06A1C430" w14:textId="77777777" w:rsidR="00D86D86" w:rsidRPr="0049065C" w:rsidRDefault="00D86D86" w:rsidP="00D86D86">
      <w:pPr>
        <w:spacing w:before="100" w:beforeAutospacing="1" w:after="100" w:afterAutospacing="1" w:line="240" w:lineRule="auto"/>
        <w:ind w:left="1134"/>
        <w:jc w:val="right"/>
        <w:rPr>
          <w:rFonts w:eastAsia="Times New Roman"/>
          <w:color w:val="000000"/>
        </w:rPr>
      </w:pPr>
      <w:r w:rsidRPr="0049065C">
        <w:rPr>
          <w:rFonts w:eastAsia="Times New Roman"/>
          <w:i/>
          <w:iCs/>
          <w:color w:val="000000"/>
        </w:rPr>
        <w:t>FZO</w:t>
      </w:r>
      <w:r w:rsidRPr="0049065C">
        <w:rPr>
          <w:rFonts w:eastAsia="Times New Roman"/>
          <w:color w:val="000000"/>
        </w:rPr>
        <w:t xml:space="preserve">, </w:t>
      </w:r>
      <w:r w:rsidRPr="0049065C">
        <w:rPr>
          <w:rFonts w:eastAsia="Times New Roman"/>
          <w:i/>
          <w:iCs/>
          <w:color w:val="000000"/>
        </w:rPr>
        <w:t>supra</w:t>
      </w:r>
      <w:r w:rsidRPr="0049065C">
        <w:rPr>
          <w:rFonts w:eastAsia="Times New Roman"/>
          <w:color w:val="000000"/>
        </w:rPr>
        <w:t xml:space="preserve"> at paras 218 - 219</w:t>
      </w:r>
    </w:p>
    <w:p w14:paraId="06F01864" w14:textId="77777777" w:rsidR="00D86D86" w:rsidRDefault="00D86D86" w:rsidP="00D86D86">
      <w:pPr>
        <w:pStyle w:val="ListParagraph"/>
        <w:numPr>
          <w:ilvl w:val="0"/>
          <w:numId w:val="15"/>
        </w:numPr>
        <w:spacing w:before="120" w:after="200" w:line="276" w:lineRule="auto"/>
        <w:ind w:left="1134" w:hanging="568"/>
        <w:contextualSpacing w:val="0"/>
        <w:jc w:val="both"/>
      </w:pPr>
      <w:r w:rsidRPr="0049065C">
        <w:lastRenderedPageBreak/>
        <w:t xml:space="preserve">While the court in </w:t>
      </w:r>
      <w:r w:rsidRPr="0049065C">
        <w:rPr>
          <w:i/>
          <w:iCs/>
        </w:rPr>
        <w:t>FZO</w:t>
      </w:r>
      <w:r w:rsidRPr="0049065C">
        <w:t xml:space="preserve"> did not recognize or address a novel tort of grooming, </w:t>
      </w:r>
      <w:r>
        <w:t xml:space="preserve">nor did it clearly identify any of the underlying torts, </w:t>
      </w:r>
      <w:r w:rsidRPr="0049065C">
        <w:t>it is clear from Justice Cutts’ reasoning that the grooming of the plaintiff was a critical element of the sexual abuse he endured.</w:t>
      </w:r>
    </w:p>
    <w:p w14:paraId="43E47B96" w14:textId="77777777" w:rsidR="00D86D86" w:rsidRPr="00285007" w:rsidRDefault="00D86D86" w:rsidP="00D86D86">
      <w:pPr>
        <w:pStyle w:val="ListParagraph"/>
        <w:spacing w:before="360" w:after="360"/>
        <w:jc w:val="both"/>
      </w:pPr>
    </w:p>
    <w:p w14:paraId="2F65F95E" w14:textId="7D8C6E3D" w:rsidR="00D86D86" w:rsidRDefault="00120C5C" w:rsidP="00D86D86">
      <w:pPr>
        <w:pStyle w:val="ListParagraph"/>
        <w:numPr>
          <w:ilvl w:val="0"/>
          <w:numId w:val="1"/>
        </w:numPr>
        <w:spacing w:before="360" w:after="360"/>
        <w:ind w:left="720" w:hanging="720"/>
        <w:contextualSpacing w:val="0"/>
        <w:jc w:val="both"/>
        <w:rPr>
          <w:b/>
          <w:u w:val="single"/>
        </w:rPr>
      </w:pPr>
      <w:r>
        <w:rPr>
          <w:b/>
          <w:u w:val="single"/>
        </w:rPr>
        <w:t>Trial Reasons</w:t>
      </w:r>
    </w:p>
    <w:p w14:paraId="45D445AE" w14:textId="77777777" w:rsidR="00120C5C" w:rsidRDefault="00120C5C" w:rsidP="00120C5C">
      <w:pPr>
        <w:pStyle w:val="Default"/>
        <w:spacing w:after="120"/>
        <w:jc w:val="both"/>
      </w:pPr>
      <w:r w:rsidRPr="007E3404">
        <w:rPr>
          <w:rFonts w:ascii="Arial" w:hAnsi="Arial" w:cs="Arial"/>
          <w:b/>
          <w:bCs/>
          <w:i/>
          <w:lang w:val="en-CA"/>
        </w:rPr>
        <w:t>H.N. v.</w:t>
      </w:r>
      <w:r w:rsidRPr="007E3404">
        <w:rPr>
          <w:rFonts w:ascii="Arial" w:hAnsi="Arial" w:cs="Arial"/>
          <w:color w:val="212529"/>
        </w:rPr>
        <w:t xml:space="preserve"> </w:t>
      </w:r>
      <w:r w:rsidRPr="007E3404">
        <w:rPr>
          <w:rFonts w:ascii="Arial" w:hAnsi="Arial" w:cs="Arial"/>
          <w:b/>
          <w:bCs/>
          <w:i/>
          <w:iCs/>
          <w:color w:val="212529"/>
        </w:rPr>
        <w:t>School District No. 61 (Greater Victoria),</w:t>
      </w:r>
      <w:r w:rsidRPr="007E3404">
        <w:rPr>
          <w:rFonts w:ascii="Arial" w:hAnsi="Arial" w:cs="Arial"/>
          <w:b/>
          <w:bCs/>
          <w:color w:val="212529"/>
        </w:rPr>
        <w:t xml:space="preserve"> </w:t>
      </w:r>
      <w:hyperlink r:id="rId20" w:history="1">
        <w:r w:rsidRPr="007E3404">
          <w:rPr>
            <w:rStyle w:val="Hyperlink"/>
            <w:rFonts w:ascii="Arial" w:hAnsi="Arial" w:cs="Arial"/>
            <w:b/>
            <w:bCs/>
            <w:color w:val="027ABB"/>
          </w:rPr>
          <w:t>2024 BCSC 128 (</w:t>
        </w:r>
        <w:proofErr w:type="spellStart"/>
        <w:r w:rsidRPr="007E3404">
          <w:rPr>
            <w:rStyle w:val="Hyperlink"/>
            <w:rFonts w:ascii="Arial" w:hAnsi="Arial" w:cs="Arial"/>
            <w:b/>
            <w:bCs/>
            <w:color w:val="027ABB"/>
          </w:rPr>
          <w:t>CanLII</w:t>
        </w:r>
        <w:proofErr w:type="spellEnd"/>
        <w:r w:rsidRPr="007E3404">
          <w:rPr>
            <w:rStyle w:val="Hyperlink"/>
            <w:rFonts w:ascii="Arial" w:hAnsi="Arial" w:cs="Arial"/>
            <w:b/>
            <w:bCs/>
            <w:color w:val="027ABB"/>
          </w:rPr>
          <w:t>)</w:t>
        </w:r>
      </w:hyperlink>
    </w:p>
    <w:p w14:paraId="660D55D8" w14:textId="77777777" w:rsidR="00120C5C" w:rsidRPr="00D86D86" w:rsidRDefault="00120C5C" w:rsidP="00120C5C">
      <w:pPr>
        <w:pStyle w:val="Default"/>
        <w:spacing w:after="120"/>
        <w:jc w:val="both"/>
        <w:rPr>
          <w:rFonts w:ascii="Arial" w:hAnsi="Arial" w:cs="Arial"/>
          <w:b/>
          <w:bCs/>
          <w:lang w:val="en-CA"/>
        </w:rPr>
      </w:pPr>
    </w:p>
    <w:p w14:paraId="761C56C0" w14:textId="28A32872" w:rsidR="00D86D86" w:rsidRDefault="00D86D86" w:rsidP="00D86D86">
      <w:pPr>
        <w:spacing w:after="200"/>
        <w:jc w:val="both"/>
      </w:pPr>
      <w:r>
        <w:t xml:space="preserve">The judgment achieved at trial was a massive success on quantum.  The sizeable compensatory damages award sets a </w:t>
      </w:r>
      <w:proofErr w:type="gramStart"/>
      <w:r>
        <w:t>new record</w:t>
      </w:r>
      <w:proofErr w:type="gramEnd"/>
      <w:r>
        <w:t xml:space="preserve"> nationally for sexual abuse survivors, and there is no longer a discrepancy between motor vehicle accident injury plaintiffs and sexual abuse plaintiffs in the approach to quantification of the award.  Gone are the days where plaintiffs receive nominal awards for sexual abuse. With the medical evidence in support, courts are now prepared to acknowledge the grave consequential harms of child sexual abuse, with corresponding awards of damages. </w:t>
      </w:r>
    </w:p>
    <w:p w14:paraId="18134CD1" w14:textId="7029391F" w:rsidR="00120C5C" w:rsidRDefault="00120C5C" w:rsidP="00D86D86">
      <w:pPr>
        <w:spacing w:after="200"/>
        <w:jc w:val="both"/>
      </w:pPr>
      <w:r>
        <w:t>Discussion re: Vicarious Liability.</w:t>
      </w:r>
    </w:p>
    <w:p w14:paraId="102B3C12" w14:textId="6EE661A7" w:rsidR="00D86D86" w:rsidRPr="001E340A" w:rsidRDefault="00120C5C" w:rsidP="00D86D86">
      <w:pPr>
        <w:pStyle w:val="ListParagraph"/>
        <w:numPr>
          <w:ilvl w:val="0"/>
          <w:numId w:val="1"/>
        </w:numPr>
        <w:spacing w:before="360" w:after="360"/>
        <w:ind w:left="720" w:hanging="720"/>
        <w:contextualSpacing w:val="0"/>
        <w:jc w:val="both"/>
        <w:rPr>
          <w:b/>
          <w:u w:val="single"/>
        </w:rPr>
      </w:pPr>
      <w:r>
        <w:rPr>
          <w:b/>
          <w:u w:val="single"/>
        </w:rPr>
        <w:t>Court of Appeal</w:t>
      </w:r>
    </w:p>
    <w:p w14:paraId="15238BDD" w14:textId="77777777" w:rsidR="00120C5C" w:rsidRPr="00120C5C" w:rsidRDefault="00120C5C" w:rsidP="00120C5C">
      <w:pPr>
        <w:pStyle w:val="Default"/>
        <w:spacing w:after="120"/>
        <w:jc w:val="both"/>
        <w:rPr>
          <w:rFonts w:ascii="Arial" w:hAnsi="Arial" w:cs="Arial"/>
          <w:b/>
          <w:bCs/>
          <w:lang w:val="en-CA"/>
        </w:rPr>
      </w:pPr>
      <w:r w:rsidRPr="00120C5C">
        <w:rPr>
          <w:rFonts w:ascii="Arial" w:hAnsi="Arial" w:cs="Arial"/>
          <w:b/>
          <w:bCs/>
          <w:i/>
          <w:iCs/>
          <w:lang w:val="en-CA"/>
        </w:rPr>
        <w:t xml:space="preserve">H.N. v. School District No. 61 (Greater Victoria), </w:t>
      </w:r>
      <w:hyperlink r:id="rId21" w:history="1">
        <w:r w:rsidRPr="00120C5C">
          <w:rPr>
            <w:rStyle w:val="Hyperlink"/>
            <w:rFonts w:ascii="Arial" w:hAnsi="Arial" w:cs="Arial"/>
            <w:b/>
            <w:bCs/>
            <w:lang w:val="en-CA"/>
          </w:rPr>
          <w:t>2025 BCCA 144 (CanLII)</w:t>
        </w:r>
      </w:hyperlink>
    </w:p>
    <w:p w14:paraId="452C659C" w14:textId="12A33333" w:rsidR="00120C5C" w:rsidRPr="001E340A" w:rsidRDefault="00120C5C" w:rsidP="00120C5C">
      <w:pPr>
        <w:pStyle w:val="ListParagraph"/>
        <w:numPr>
          <w:ilvl w:val="0"/>
          <w:numId w:val="1"/>
        </w:numPr>
        <w:spacing w:before="360" w:after="360"/>
        <w:ind w:left="720" w:hanging="720"/>
        <w:contextualSpacing w:val="0"/>
        <w:jc w:val="both"/>
        <w:rPr>
          <w:b/>
          <w:u w:val="single"/>
        </w:rPr>
      </w:pPr>
      <w:r>
        <w:rPr>
          <w:b/>
          <w:u w:val="single"/>
        </w:rPr>
        <w:t xml:space="preserve">Leave to </w:t>
      </w:r>
      <w:r>
        <w:rPr>
          <w:b/>
          <w:u w:val="single"/>
        </w:rPr>
        <w:t xml:space="preserve">Appeal </w:t>
      </w:r>
      <w:r>
        <w:rPr>
          <w:b/>
          <w:u w:val="single"/>
        </w:rPr>
        <w:t>to the SCC</w:t>
      </w:r>
      <w:r>
        <w:rPr>
          <w:b/>
          <w:i/>
          <w:iCs/>
          <w:u w:val="single"/>
        </w:rPr>
        <w:t xml:space="preserve"> </w:t>
      </w:r>
    </w:p>
    <w:p w14:paraId="7BA34BB4" w14:textId="77777777" w:rsidR="00120C5C" w:rsidRDefault="00120C5C" w:rsidP="00120C5C">
      <w:pPr>
        <w:spacing w:before="360" w:after="360"/>
        <w:jc w:val="both"/>
        <w:rPr>
          <w:bCs/>
        </w:rPr>
      </w:pPr>
      <w:r w:rsidRPr="00120C5C">
        <w:rPr>
          <w:bCs/>
        </w:rPr>
        <w:t xml:space="preserve">Review of appellant’s factum. </w:t>
      </w:r>
    </w:p>
    <w:p w14:paraId="0B108546" w14:textId="63462D04" w:rsidR="00120C5C" w:rsidRPr="00120C5C" w:rsidRDefault="00120C5C" w:rsidP="00120C5C">
      <w:pPr>
        <w:spacing w:before="360" w:after="360"/>
        <w:jc w:val="both"/>
        <w:rPr>
          <w:bCs/>
        </w:rPr>
      </w:pPr>
      <w:r>
        <w:rPr>
          <w:bCs/>
        </w:rPr>
        <w:t>Review of respondent’s factum</w:t>
      </w:r>
    </w:p>
    <w:sectPr w:rsidR="00120C5C" w:rsidRPr="00120C5C" w:rsidSect="00D86D86">
      <w:footerReference w:type="default" r:id="rId2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DB8B" w14:textId="77777777" w:rsidR="00C35650" w:rsidRDefault="00C35650" w:rsidP="00D86D86">
      <w:pPr>
        <w:spacing w:after="0" w:line="240" w:lineRule="auto"/>
      </w:pPr>
      <w:r>
        <w:separator/>
      </w:r>
    </w:p>
  </w:endnote>
  <w:endnote w:type="continuationSeparator" w:id="0">
    <w:p w14:paraId="1DE07F99" w14:textId="77777777" w:rsidR="00C35650" w:rsidRDefault="00C35650" w:rsidP="00D8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70382"/>
      <w:docPartObj>
        <w:docPartGallery w:val="Page Numbers (Bottom of Page)"/>
        <w:docPartUnique/>
      </w:docPartObj>
    </w:sdtPr>
    <w:sdtEndPr>
      <w:rPr>
        <w:noProof/>
      </w:rPr>
    </w:sdtEndPr>
    <w:sdtContent>
      <w:p w14:paraId="0AA51CB3" w14:textId="77777777" w:rsidR="00D86D86" w:rsidRDefault="00D86D8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7B4AA41D" w14:textId="77777777" w:rsidR="00D86D86" w:rsidRDefault="00D8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6A9F" w14:textId="77777777" w:rsidR="00C35650" w:rsidRDefault="00C35650" w:rsidP="00D86D86">
      <w:pPr>
        <w:spacing w:after="0" w:line="240" w:lineRule="auto"/>
      </w:pPr>
      <w:r>
        <w:separator/>
      </w:r>
    </w:p>
  </w:footnote>
  <w:footnote w:type="continuationSeparator" w:id="0">
    <w:p w14:paraId="42BE4A68" w14:textId="77777777" w:rsidR="00C35650" w:rsidRDefault="00C35650" w:rsidP="00D86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838"/>
    <w:multiLevelType w:val="hybridMultilevel"/>
    <w:tmpl w:val="45CC0726"/>
    <w:lvl w:ilvl="0" w:tplc="16C61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360D5"/>
    <w:multiLevelType w:val="hybridMultilevel"/>
    <w:tmpl w:val="26C26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F657E1"/>
    <w:multiLevelType w:val="hybridMultilevel"/>
    <w:tmpl w:val="413AE2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35D4116"/>
    <w:multiLevelType w:val="hybridMultilevel"/>
    <w:tmpl w:val="7ABAC21A"/>
    <w:lvl w:ilvl="0" w:tplc="FFFFFFFF">
      <w:start w:val="1"/>
      <w:numFmt w:val="decimal"/>
      <w:lvlText w:val="%1."/>
      <w:lvlJc w:val="left"/>
      <w:pPr>
        <w:ind w:left="928" w:hanging="360"/>
      </w:pPr>
      <w:rPr>
        <w:i w:val="0"/>
        <w:iCs/>
        <w:sz w:val="24"/>
        <w:szCs w:val="24"/>
      </w:rPr>
    </w:lvl>
    <w:lvl w:ilvl="1" w:tplc="5582B7FE">
      <w:start w:val="1"/>
      <w:numFmt w:val="lowerLetter"/>
      <w:lvlText w:val="(%2)"/>
      <w:lvlJc w:val="left"/>
      <w:pPr>
        <w:ind w:left="1440" w:hanging="360"/>
      </w:pPr>
      <w:rPr>
        <w:rFonts w:cs="Times New Roman" w:hint="default"/>
        <w:b w:val="0"/>
        <w:u w:val="none"/>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174CB6"/>
    <w:multiLevelType w:val="hybridMultilevel"/>
    <w:tmpl w:val="553896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7B69CA"/>
    <w:multiLevelType w:val="hybridMultilevel"/>
    <w:tmpl w:val="4AB2E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095379"/>
    <w:multiLevelType w:val="hybridMultilevel"/>
    <w:tmpl w:val="22186C72"/>
    <w:lvl w:ilvl="0" w:tplc="4E2E9A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D8369B9"/>
    <w:multiLevelType w:val="hybridMultilevel"/>
    <w:tmpl w:val="44BA2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59380A"/>
    <w:multiLevelType w:val="hybridMultilevel"/>
    <w:tmpl w:val="408CCB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2242BC"/>
    <w:multiLevelType w:val="hybridMultilevel"/>
    <w:tmpl w:val="F8FEB95A"/>
    <w:lvl w:ilvl="0" w:tplc="8F24EC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06288B"/>
    <w:multiLevelType w:val="multilevel"/>
    <w:tmpl w:val="262E125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6CAA1352"/>
    <w:multiLevelType w:val="hybridMultilevel"/>
    <w:tmpl w:val="FDE022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8A2758"/>
    <w:multiLevelType w:val="hybridMultilevel"/>
    <w:tmpl w:val="43C2D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360429"/>
    <w:multiLevelType w:val="hybridMultilevel"/>
    <w:tmpl w:val="51B026CC"/>
    <w:lvl w:ilvl="0" w:tplc="CC86B44C">
      <w:start w:val="1"/>
      <w:numFmt w:val="decimal"/>
      <w:lvlText w:val="%1."/>
      <w:lvlJc w:val="left"/>
      <w:pPr>
        <w:ind w:left="928" w:hanging="360"/>
      </w:pPr>
      <w:rPr>
        <w:b w:val="0"/>
        <w:bCs w:val="0"/>
        <w:i w:val="0"/>
        <w:iCs/>
        <w:sz w:val="24"/>
        <w:szCs w:val="24"/>
      </w:rPr>
    </w:lvl>
    <w:lvl w:ilvl="1" w:tplc="10090017">
      <w:start w:val="1"/>
      <w:numFmt w:val="lowerLetter"/>
      <w:lvlText w:val="%2)"/>
      <w:lvlJc w:val="left"/>
      <w:pPr>
        <w:ind w:left="1440" w:hanging="360"/>
      </w:pPr>
    </w:lvl>
    <w:lvl w:ilvl="2" w:tplc="B2A62B32">
      <w:start w:val="1"/>
      <w:numFmt w:val="lowerRoman"/>
      <w:lvlText w:val="%3."/>
      <w:lvlJc w:val="right"/>
      <w:pPr>
        <w:ind w:left="2160" w:hanging="180"/>
      </w:pPr>
      <w:rPr>
        <w:b w:val="0"/>
        <w:bCs w:val="0"/>
      </w:rPr>
    </w:lvl>
    <w:lvl w:ilvl="3" w:tplc="1CE26872">
      <w:start w:val="1"/>
      <w:numFmt w:val="decimal"/>
      <w:lvlText w:val="%4."/>
      <w:lvlJc w:val="left"/>
      <w:pPr>
        <w:ind w:left="2880" w:hanging="360"/>
      </w:pPr>
      <w:rPr>
        <w:b w:val="0"/>
        <w:bCs w:val="0"/>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25F7869"/>
    <w:multiLevelType w:val="hybridMultilevel"/>
    <w:tmpl w:val="66F07762"/>
    <w:lvl w:ilvl="0" w:tplc="010EAEC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A462282"/>
    <w:multiLevelType w:val="hybridMultilevel"/>
    <w:tmpl w:val="9A44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159368">
    <w:abstractNumId w:val="11"/>
  </w:num>
  <w:num w:numId="2" w16cid:durableId="1288928245">
    <w:abstractNumId w:val="0"/>
  </w:num>
  <w:num w:numId="3" w16cid:durableId="812912465">
    <w:abstractNumId w:val="15"/>
  </w:num>
  <w:num w:numId="4" w16cid:durableId="698891823">
    <w:abstractNumId w:val="12"/>
  </w:num>
  <w:num w:numId="5" w16cid:durableId="955138360">
    <w:abstractNumId w:val="6"/>
  </w:num>
  <w:num w:numId="6" w16cid:durableId="582302702">
    <w:abstractNumId w:val="14"/>
  </w:num>
  <w:num w:numId="7" w16cid:durableId="576091754">
    <w:abstractNumId w:val="1"/>
  </w:num>
  <w:num w:numId="8" w16cid:durableId="1127965208">
    <w:abstractNumId w:val="7"/>
  </w:num>
  <w:num w:numId="9" w16cid:durableId="1535919940">
    <w:abstractNumId w:val="5"/>
  </w:num>
  <w:num w:numId="10" w16cid:durableId="1157769014">
    <w:abstractNumId w:val="8"/>
  </w:num>
  <w:num w:numId="11" w16cid:durableId="887835844">
    <w:abstractNumId w:val="4"/>
  </w:num>
  <w:num w:numId="12" w16cid:durableId="526678189">
    <w:abstractNumId w:val="10"/>
  </w:num>
  <w:num w:numId="13" w16cid:durableId="1502313498">
    <w:abstractNumId w:val="9"/>
  </w:num>
  <w:num w:numId="14" w16cid:durableId="1771391688">
    <w:abstractNumId w:val="2"/>
  </w:num>
  <w:num w:numId="15" w16cid:durableId="16657853">
    <w:abstractNumId w:val="13"/>
  </w:num>
  <w:num w:numId="16" w16cid:durableId="91674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86"/>
    <w:rsid w:val="00120C5C"/>
    <w:rsid w:val="00677A12"/>
    <w:rsid w:val="00C35650"/>
    <w:rsid w:val="00D86D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35B"/>
  <w15:chartTrackingRefBased/>
  <w15:docId w15:val="{442ABBE4-1371-4320-9496-6C33E8D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86"/>
    <w:pPr>
      <w:spacing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D8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86"/>
    <w:rPr>
      <w:rFonts w:eastAsiaTheme="majorEastAsia" w:cstheme="majorBidi"/>
      <w:color w:val="272727" w:themeColor="text1" w:themeTint="D8"/>
    </w:rPr>
  </w:style>
  <w:style w:type="paragraph" w:styleId="Title">
    <w:name w:val="Title"/>
    <w:basedOn w:val="Normal"/>
    <w:next w:val="Normal"/>
    <w:link w:val="TitleChar"/>
    <w:uiPriority w:val="99"/>
    <w:qFormat/>
    <w:rsid w:val="00D8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8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86"/>
    <w:pPr>
      <w:spacing w:before="160"/>
      <w:jc w:val="center"/>
    </w:pPr>
    <w:rPr>
      <w:i/>
      <w:iCs/>
      <w:color w:val="404040" w:themeColor="text1" w:themeTint="BF"/>
    </w:rPr>
  </w:style>
  <w:style w:type="character" w:customStyle="1" w:styleId="QuoteChar">
    <w:name w:val="Quote Char"/>
    <w:basedOn w:val="DefaultParagraphFont"/>
    <w:link w:val="Quote"/>
    <w:uiPriority w:val="29"/>
    <w:rsid w:val="00D86D86"/>
    <w:rPr>
      <w:i/>
      <w:iCs/>
      <w:color w:val="404040" w:themeColor="text1" w:themeTint="BF"/>
    </w:rPr>
  </w:style>
  <w:style w:type="paragraph" w:styleId="ListParagraph">
    <w:name w:val="List Paragraph"/>
    <w:basedOn w:val="Normal"/>
    <w:uiPriority w:val="34"/>
    <w:qFormat/>
    <w:rsid w:val="00D86D86"/>
    <w:pPr>
      <w:ind w:left="720"/>
      <w:contextualSpacing/>
    </w:pPr>
  </w:style>
  <w:style w:type="character" w:styleId="IntenseEmphasis">
    <w:name w:val="Intense Emphasis"/>
    <w:basedOn w:val="DefaultParagraphFont"/>
    <w:uiPriority w:val="21"/>
    <w:qFormat/>
    <w:rsid w:val="00D86D86"/>
    <w:rPr>
      <w:i/>
      <w:iCs/>
      <w:color w:val="0F4761" w:themeColor="accent1" w:themeShade="BF"/>
    </w:rPr>
  </w:style>
  <w:style w:type="paragraph" w:styleId="IntenseQuote">
    <w:name w:val="Intense Quote"/>
    <w:basedOn w:val="Normal"/>
    <w:next w:val="Normal"/>
    <w:link w:val="IntenseQuoteChar"/>
    <w:uiPriority w:val="30"/>
    <w:qFormat/>
    <w:rsid w:val="00D8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D86"/>
    <w:rPr>
      <w:i/>
      <w:iCs/>
      <w:color w:val="0F4761" w:themeColor="accent1" w:themeShade="BF"/>
    </w:rPr>
  </w:style>
  <w:style w:type="character" w:styleId="IntenseReference">
    <w:name w:val="Intense Reference"/>
    <w:basedOn w:val="DefaultParagraphFont"/>
    <w:uiPriority w:val="32"/>
    <w:qFormat/>
    <w:rsid w:val="00D86D86"/>
    <w:rPr>
      <w:b/>
      <w:bCs/>
      <w:smallCaps/>
      <w:color w:val="0F4761" w:themeColor="accent1" w:themeShade="BF"/>
      <w:spacing w:val="5"/>
    </w:rPr>
  </w:style>
  <w:style w:type="table" w:styleId="TableGrid">
    <w:name w:val="Table Grid"/>
    <w:basedOn w:val="TableNormal"/>
    <w:uiPriority w:val="59"/>
    <w:rsid w:val="00D86D86"/>
    <w:pPr>
      <w:spacing w:after="0" w:line="240" w:lineRule="auto"/>
    </w:pPr>
    <w:rPr>
      <w:rFonts w:ascii="Times New Roman" w:eastAsiaTheme="minorEastAsia" w:hAnsi="Times New Roman"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6D86"/>
    <w:rPr>
      <w:color w:val="467886" w:themeColor="hyperlink"/>
      <w:u w:val="single"/>
    </w:rPr>
  </w:style>
  <w:style w:type="character" w:styleId="Emphasis">
    <w:name w:val="Emphasis"/>
    <w:basedOn w:val="DefaultParagraphFont"/>
    <w:uiPriority w:val="20"/>
    <w:qFormat/>
    <w:rsid w:val="00D86D86"/>
    <w:rPr>
      <w:i/>
      <w:iCs/>
    </w:rPr>
  </w:style>
  <w:style w:type="paragraph" w:styleId="Footer">
    <w:name w:val="footer"/>
    <w:basedOn w:val="Normal"/>
    <w:link w:val="FooterChar"/>
    <w:uiPriority w:val="99"/>
    <w:unhideWhenUsed/>
    <w:rsid w:val="00D86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D86"/>
    <w:rPr>
      <w:rFonts w:ascii="Arial" w:hAnsi="Arial" w:cs="Arial"/>
      <w:kern w:val="0"/>
      <w14:ligatures w14:val="none"/>
    </w:rPr>
  </w:style>
  <w:style w:type="paragraph" w:customStyle="1" w:styleId="scjnumber">
    <w:name w:val="scjnumber"/>
    <w:basedOn w:val="Normal"/>
    <w:rsid w:val="00D86D86"/>
    <w:pPr>
      <w:spacing w:before="100" w:beforeAutospacing="1" w:after="100" w:afterAutospacing="1" w:line="240" w:lineRule="auto"/>
    </w:pPr>
    <w:rPr>
      <w:rFonts w:ascii="Times New Roman" w:eastAsia="Times New Roman" w:hAnsi="Times New Roman" w:cs="Times New Roman"/>
      <w:lang w:val="en-US"/>
    </w:rPr>
  </w:style>
  <w:style w:type="paragraph" w:customStyle="1" w:styleId="Default">
    <w:name w:val="Default"/>
    <w:rsid w:val="00D86D8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customStyle="1" w:styleId="paranondepar-altn">
    <w:name w:val="paranondepar-altn"/>
    <w:basedOn w:val="Normal"/>
    <w:rsid w:val="00D86D86"/>
    <w:pPr>
      <w:spacing w:before="100" w:beforeAutospacing="1" w:after="100" w:afterAutospacing="1" w:line="240" w:lineRule="auto"/>
    </w:pPr>
    <w:rPr>
      <w:rFonts w:ascii="Times New Roman" w:eastAsia="Times New Roman" w:hAnsi="Times New Roman" w:cs="Times New Roman"/>
      <w:lang w:val="en-US"/>
    </w:rPr>
  </w:style>
  <w:style w:type="paragraph" w:customStyle="1" w:styleId="continueparasuitedupar-altp">
    <w:name w:val="continueparasuitedupar-altp"/>
    <w:basedOn w:val="Normal"/>
    <w:rsid w:val="00D86D86"/>
    <w:pPr>
      <w:spacing w:before="100" w:beforeAutospacing="1" w:after="100" w:afterAutospacing="1"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D86D86"/>
    <w:pPr>
      <w:spacing w:before="100" w:beforeAutospacing="1" w:after="100" w:afterAutospacing="1" w:line="240" w:lineRule="auto"/>
    </w:pPr>
    <w:rPr>
      <w:rFonts w:ascii="Times New Roman" w:eastAsia="Times New Roman" w:hAnsi="Times New Roman" w:cs="Times New Roman"/>
      <w:lang w:val="en-US"/>
    </w:rPr>
  </w:style>
  <w:style w:type="paragraph" w:customStyle="1" w:styleId="scjnon-number">
    <w:name w:val="scjnon-number"/>
    <w:basedOn w:val="Normal"/>
    <w:rsid w:val="00D86D86"/>
    <w:pPr>
      <w:spacing w:before="100" w:beforeAutospacing="1" w:after="100" w:afterAutospacing="1" w:line="240" w:lineRule="auto"/>
    </w:pPr>
    <w:rPr>
      <w:rFonts w:ascii="Times New Roman" w:eastAsia="Times New Roman" w:hAnsi="Times New Roman" w:cs="Times New Roman"/>
      <w:lang w:val="en-US"/>
    </w:rPr>
  </w:style>
  <w:style w:type="character" w:customStyle="1" w:styleId="pdf-viewer-line">
    <w:name w:val="pdf-viewer-line"/>
    <w:basedOn w:val="DefaultParagraphFont"/>
    <w:rsid w:val="00D86D86"/>
  </w:style>
  <w:style w:type="paragraph" w:customStyle="1" w:styleId="scjnormal">
    <w:name w:val="scjnormal"/>
    <w:basedOn w:val="Normal"/>
    <w:rsid w:val="00D86D86"/>
    <w:pPr>
      <w:spacing w:before="100" w:beforeAutospacing="1" w:after="100" w:afterAutospacing="1" w:line="240" w:lineRule="auto"/>
    </w:pPr>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D86D86"/>
    <w:pPr>
      <w:spacing w:after="0" w:line="240" w:lineRule="auto"/>
    </w:pPr>
    <w:rPr>
      <w:rFonts w:ascii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D86D86"/>
    <w:rPr>
      <w:kern w:val="0"/>
      <w:sz w:val="20"/>
      <w:szCs w:val="20"/>
      <w:lang w:val="en-US"/>
      <w14:ligatures w14:val="none"/>
    </w:rPr>
  </w:style>
  <w:style w:type="character" w:styleId="EndnoteReference">
    <w:name w:val="endnote reference"/>
    <w:basedOn w:val="DefaultParagraphFont"/>
    <w:uiPriority w:val="99"/>
    <w:semiHidden/>
    <w:unhideWhenUsed/>
    <w:rsid w:val="00D86D86"/>
    <w:rPr>
      <w:vertAlign w:val="superscript"/>
    </w:rPr>
  </w:style>
  <w:style w:type="paragraph" w:customStyle="1" w:styleId="scjquote">
    <w:name w:val="scjquote"/>
    <w:basedOn w:val="Normal"/>
    <w:rsid w:val="00D86D86"/>
    <w:pPr>
      <w:spacing w:before="100" w:beforeAutospacing="1" w:after="100" w:afterAutospacing="1" w:line="240" w:lineRule="auto"/>
    </w:pPr>
    <w:rPr>
      <w:rFonts w:ascii="Times New Roman" w:eastAsia="Times New Roman" w:hAnsi="Times New Roman" w:cs="Times New Roman"/>
      <w:lang w:eastAsia="en-CA"/>
    </w:rPr>
  </w:style>
  <w:style w:type="character" w:styleId="UnresolvedMention">
    <w:name w:val="Unresolved Mention"/>
    <w:basedOn w:val="DefaultParagraphFont"/>
    <w:uiPriority w:val="99"/>
    <w:semiHidden/>
    <w:unhideWhenUsed/>
    <w:rsid w:val="00D86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kazlaw.ca" TargetMode="External"/><Relationship Id="rId13" Type="http://schemas.openxmlformats.org/officeDocument/2006/relationships/image" Target="media/image1.png"/><Relationship Id="rId18" Type="http://schemas.openxmlformats.org/officeDocument/2006/relationships/hyperlink" Target="https://www.canlii.org/en/ca/scc/doc/1999/1999canlii693/1999canlii693.html?resultId=bddf03f9f31949d5b17498203ec2bbe7&amp;searchId=2025-01-29T12:21:24:881/02328e0e14664762aaf524c060351e1d" TargetMode="External"/><Relationship Id="rId3" Type="http://schemas.openxmlformats.org/officeDocument/2006/relationships/settings" Target="settings.xml"/><Relationship Id="rId21" Type="http://schemas.openxmlformats.org/officeDocument/2006/relationships/hyperlink" Target="https://canlii.ca/t/kbwlg" TargetMode="External"/><Relationship Id="rId7" Type="http://schemas.openxmlformats.org/officeDocument/2006/relationships/hyperlink" Target="mailto:sk@kazlaw.ca" TargetMode="External"/><Relationship Id="rId12" Type="http://schemas.openxmlformats.org/officeDocument/2006/relationships/hyperlink" Target="1999%20CanLII%20692%20(SCC),%20%5b1999%5d%202%20SCR%20534" TargetMode="External"/><Relationship Id="rId17" Type="http://schemas.openxmlformats.org/officeDocument/2006/relationships/hyperlink" Target="https://www.canlii.org/en/ca/scc/doc/1999/1999canlii693/1999canlii693.html?resultId=e16c98c3a7a248239e5c0625108ab01d&amp;searchId=2025-01-29T12:20:10:297/080dbf9327df4436a1ee15bae64aacf9" TargetMode="External"/><Relationship Id="rId2" Type="http://schemas.openxmlformats.org/officeDocument/2006/relationships/styles" Target="styles.xml"/><Relationship Id="rId16" Type="http://schemas.openxmlformats.org/officeDocument/2006/relationships/hyperlink" Target="https://www.canlii.org/en/bc/bcsc/doc/2022/2022bcsc994/2022bcsc994.html?resultId=8950cdfb1094441796d7e19afb8eb39f&amp;searchId=2025-01-29T12:18:59:418/c6cfbf323fa148a9bf9786b1a4b0f1fb" TargetMode="External"/><Relationship Id="rId20" Type="http://schemas.openxmlformats.org/officeDocument/2006/relationships/hyperlink" Target="https://canlii.ca/t/k2hv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lii.ca/t/1fql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nlii.org/en/ca/scc/doc/2005/2005scc58/2005scc58.html?resultId=c9b98238a0d74fe9832eeecad0ef834c&amp;searchId=2025-01-29T12:18:26:138/6722a056bb124a4c91e01f3fcebb8696" TargetMode="External"/><Relationship Id="rId23" Type="http://schemas.openxmlformats.org/officeDocument/2006/relationships/fontTable" Target="fontTable.xml"/><Relationship Id="rId10" Type="http://schemas.openxmlformats.org/officeDocument/2006/relationships/hyperlink" Target="https://canlii.ca/t/kbwlg" TargetMode="External"/><Relationship Id="rId19" Type="http://schemas.openxmlformats.org/officeDocument/2006/relationships/hyperlink" Target="https://vlex.co.uk/vid/london-borough-of-haringey-840637450" TargetMode="External"/><Relationship Id="rId4" Type="http://schemas.openxmlformats.org/officeDocument/2006/relationships/webSettings" Target="webSettings.xml"/><Relationship Id="rId9" Type="http://schemas.openxmlformats.org/officeDocument/2006/relationships/hyperlink" Target="https://canlii.ca/t/k2hvj" TargetMode="Externa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2985</Words>
  <Characters>15405</Characters>
  <Application>Microsoft Office Word</Application>
  <DocSecurity>0</DocSecurity>
  <Lines>302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Kovacs</dc:creator>
  <cp:keywords/>
  <dc:description/>
  <cp:lastModifiedBy>Sandy Kovacs</cp:lastModifiedBy>
  <cp:revision>1</cp:revision>
  <dcterms:created xsi:type="dcterms:W3CDTF">2026-03-05T23:37:00Z</dcterms:created>
  <dcterms:modified xsi:type="dcterms:W3CDTF">2026-03-06T00:09:00Z</dcterms:modified>
</cp:coreProperties>
</file>