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2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3227"/>
        <w:gridCol w:w="4081"/>
        <w:gridCol w:w="2952"/>
      </w:tblGrid>
      <w:tr>
        <w:tblPrEx>
          <w:shd w:val="clear" w:color="auto" w:fill="cad1d7"/>
        </w:tblPrEx>
        <w:trPr>
          <w:trHeight w:val="287" w:hRule="atLeast"/>
        </w:trPr>
        <w:tc>
          <w:tcPr>
            <w:tcW w:type="dxa" w:w="322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8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5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292" w:hRule="atLeast"/>
        </w:trPr>
        <w:tc>
          <w:tcPr>
            <w:tcW w:type="dxa" w:w="32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jc w:val="both"/>
            </w:pPr>
            <w:r>
              <w:rPr>
                <w:rFonts w:ascii="Arial" w:hAnsi="Arial"/>
                <w:b w:val="1"/>
                <w:bCs w:val="1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Law 433C.001</w:t>
            </w:r>
          </w:p>
        </w:tc>
        <w:tc>
          <w:tcPr>
            <w:tcW w:type="dxa" w:w="40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jc w:val="both"/>
            </w:pPr>
            <w:r>
              <w:rPr>
                <w:rFonts w:ascii="Arial" w:hAnsi="Arial"/>
                <w:b w:val="1"/>
                <w:bCs w:val="1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Personal Injury Advocacy</w:t>
            </w:r>
          </w:p>
        </w:tc>
        <w:tc>
          <w:tcPr>
            <w:tcW w:type="dxa" w:w="29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jc w:val="both"/>
            </w:pPr>
            <w:r>
              <w:rPr>
                <w:rFonts w:ascii="Arial" w:hAnsi="Arial"/>
                <w:b w:val="1"/>
                <w:bCs w:val="1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2026 Term 2</w:t>
            </w:r>
          </w:p>
        </w:tc>
      </w:tr>
      <w:tr>
        <w:tblPrEx>
          <w:shd w:val="clear" w:color="auto" w:fill="cad1d7"/>
        </w:tblPrEx>
        <w:trPr>
          <w:trHeight w:val="292" w:hRule="atLeast"/>
        </w:trPr>
        <w:tc>
          <w:tcPr>
            <w:tcW w:type="dxa" w:w="32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1492" w:hRule="atLeast"/>
        </w:trPr>
        <w:tc>
          <w:tcPr>
            <w:tcW w:type="dxa" w:w="32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rPr>
                <w:rFonts w:ascii="Arial" w:cs="Arial" w:hAnsi="Arial" w:eastAsia="Arial"/>
                <w:b w:val="1"/>
                <w:bCs w:val="1"/>
                <w:spacing w:val="-10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Professors:</w:t>
            </w:r>
          </w:p>
          <w:p>
            <w:pPr>
              <w:pStyle w:val="Title"/>
              <w:tabs>
                <w:tab w:val="left" w:pos="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SANDRA KOVACS</w:t>
            </w:r>
            <w:r>
              <w:rPr>
                <w:rFonts w:ascii="Arial" w:cs="Arial" w:hAnsi="Arial" w:eastAsia="Arial"/>
                <w:b w:val="0"/>
                <w:bCs w:val="0"/>
                <w:spacing w:val="-10"/>
                <w:sz w:val="24"/>
                <w:szCs w:val="24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TANYA MARTIN</w:t>
            </w:r>
          </w:p>
        </w:tc>
        <w:tc>
          <w:tcPr>
            <w:tcW w:type="dxa" w:w="40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rPr>
                <w:rFonts w:ascii="Arial" w:cs="Arial" w:hAnsi="Arial" w:eastAsia="Arial"/>
                <w:b w:val="1"/>
                <w:bCs w:val="1"/>
                <w:spacing w:val="-10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Tel: (604) 681-9344</w:t>
            </w:r>
            <w:r>
              <w:rPr>
                <w:rFonts w:ascii="Arial" w:cs="Arial" w:hAnsi="Arial" w:eastAsia="Arial"/>
                <w:b w:val="0"/>
                <w:bCs w:val="0"/>
                <w:spacing w:val="-10"/>
                <w:sz w:val="24"/>
                <w:szCs w:val="24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Email: sk@kazlaw.ca </w:t>
            </w:r>
          </w:p>
          <w:p>
            <w:pPr>
              <w:pStyle w:val="Title"/>
              <w:tabs>
                <w:tab w:val="left" w:pos="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Email: tmartin@kazlaw.ca</w:t>
            </w:r>
            <w:r>
              <w:rPr>
                <w:rFonts w:ascii="Arial" w:cs="Arial" w:hAnsi="Arial" w:eastAsia="Arial"/>
                <w:b w:val="0"/>
                <w:bCs w:val="0"/>
                <w:spacing w:val="-10"/>
                <w:sz w:val="24"/>
                <w:szCs w:val="24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Office: 1900-570 Granville Street, Vancouver BC </w:t>
            </w:r>
          </w:p>
        </w:tc>
        <w:tc>
          <w:tcPr>
            <w:tcW w:type="dxa" w:w="29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itle"/>
              <w:tabs>
                <w:tab w:val="left" w:pos="360"/>
              </w:tabs>
              <w:rPr>
                <w:rFonts w:ascii="Arial" w:cs="Arial" w:hAnsi="Arial" w:eastAsia="Arial"/>
                <w:b w:val="1"/>
                <w:bCs w:val="1"/>
                <w:spacing w:val="-10"/>
                <w:sz w:val="24"/>
                <w:szCs w:val="24"/>
                <w:shd w:val="nil" w:color="auto" w:fill="auto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Mondays 5:00 </w:t>
            </w:r>
            <w:r>
              <w:rPr>
                <w:rFonts w:ascii="Arial" w:hAnsi="Arial" w:hint="default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8:00 pm</w:t>
            </w:r>
          </w:p>
          <w:p>
            <w:pPr>
              <w:pStyle w:val="Title"/>
              <w:tabs>
                <w:tab w:val="left" w:pos="360"/>
              </w:tabs>
              <w:bidi w:val="0"/>
              <w:ind w:left="0" w:right="0" w:firstLine="0"/>
              <w:jc w:val="left"/>
              <w:rPr>
                <w:rFonts w:ascii="Arial" w:cs="Arial" w:hAnsi="Arial" w:eastAsia="Arial"/>
                <w:b w:val="1"/>
                <w:bCs w:val="1"/>
                <w:spacing w:val="-1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UBC Faculty of Law</w:t>
            </w:r>
          </w:p>
          <w:p>
            <w:pPr>
              <w:pStyle w:val="Title"/>
              <w:tabs>
                <w:tab w:val="left" w:pos="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spacing w:val="-10"/>
                <w:sz w:val="24"/>
                <w:szCs w:val="24"/>
                <w:shd w:val="nil" w:color="auto" w:fill="auto"/>
                <w:rtl w:val="0"/>
                <w:lang w:val="en-US"/>
              </w:rPr>
              <w:t>Room 121</w:t>
            </w:r>
            <w:r>
              <w:rPr>
                <w:rFonts w:ascii="Arial" w:cs="Arial" w:hAnsi="Arial" w:eastAsia="Arial"/>
                <w:b w:val="1"/>
                <w:bCs w:val="1"/>
                <w:spacing w:val="-10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ad1d7"/>
        </w:tblPrEx>
        <w:trPr>
          <w:trHeight w:val="287" w:hRule="atLeast"/>
        </w:trPr>
        <w:tc>
          <w:tcPr>
            <w:tcW w:type="dxa" w:w="322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8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5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Title"/>
        <w:tabs>
          <w:tab w:val="left" w:pos="360"/>
        </w:tabs>
        <w:jc w:val="both"/>
        <w:rPr>
          <w:sz w:val="24"/>
          <w:szCs w:val="24"/>
        </w:rPr>
      </w:pPr>
    </w:p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WEEK </w:t>
      </w:r>
      <w:r>
        <w:rPr>
          <w:b w:val="1"/>
          <w:bCs w:val="1"/>
          <w:rtl w:val="0"/>
          <w:lang w:val="en-US"/>
        </w:rPr>
        <w:t>11</w:t>
      </w:r>
      <w:r>
        <w:rPr>
          <w:b w:val="1"/>
          <w:bCs w:val="1"/>
          <w:rtl w:val="0"/>
          <w:lang w:val="en-US"/>
        </w:rPr>
        <w:t xml:space="preserve">: Monday, March </w:t>
      </w:r>
      <w:r>
        <w:rPr>
          <w:b w:val="1"/>
          <w:bCs w:val="1"/>
          <w:rtl w:val="0"/>
          <w:lang w:val="en-US"/>
        </w:rPr>
        <w:t>23</w:t>
      </w:r>
      <w:r>
        <w:rPr>
          <w:b w:val="1"/>
          <w:bCs w:val="1"/>
          <w:rtl w:val="0"/>
        </w:rPr>
        <w:t>, 2026</w:t>
      </w:r>
      <w:r>
        <w:rPr>
          <w:b w:val="1"/>
          <w:bCs w:val="1"/>
        </w:rPr>
        <w:br w:type="textWrapping"/>
      </w:r>
      <w:r>
        <w:rPr>
          <w:b w:val="1"/>
          <w:bCs w:val="1"/>
          <w:rtl w:val="0"/>
          <w:lang w:val="en-US"/>
        </w:rPr>
        <w:t xml:space="preserve">Medical Malpractice case study: </w:t>
      </w:r>
      <w:r>
        <w:rPr>
          <w:b w:val="1"/>
          <w:bCs w:val="1"/>
          <w:i w:val="1"/>
          <w:iCs w:val="1"/>
          <w:rtl w:val="0"/>
        </w:rPr>
        <w:t>Crawford v. Osuteye</w:t>
      </w:r>
    </w:p>
    <w:p>
      <w:pPr>
        <w:pStyle w:val="List Paragraph"/>
        <w:numPr>
          <w:ilvl w:val="0"/>
          <w:numId w:val="2"/>
        </w:numPr>
        <w:bidi w:val="0"/>
        <w:spacing w:before="360" w:after="24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u w:val="single"/>
          <w:rtl w:val="0"/>
          <w:lang w:val="en-US"/>
        </w:rPr>
        <w:t>READINGS &amp; REFERENCES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Further Amended Notice of Civil Claim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Oral Reasons of August 9, 2019, Crossin, J., in Chambers re Mediation Default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Will Says 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cs="Arial" w:hAnsi="Arial" w:eastAsia="Arial"/>
          <w:i w:val="1"/>
          <w:iCs w:val="1"/>
          <w:rtl w:val="0"/>
        </w:rPr>
      </w:pPr>
      <w:r>
        <w:rPr>
          <w:rStyle w:val="Hyperlink.0"/>
          <w:rFonts w:ascii="Arial" w:cs="Arial" w:hAnsi="Arial" w:eastAsia="Arial"/>
          <w:i w:val="0"/>
          <w:iCs w:val="0"/>
        </w:rPr>
        <w:fldChar w:fldCharType="begin" w:fldLock="0"/>
      </w:r>
      <w:r>
        <w:rPr>
          <w:rStyle w:val="Hyperlink.0"/>
          <w:rFonts w:ascii="Arial" w:cs="Arial" w:hAnsi="Arial" w:eastAsia="Arial"/>
          <w:i w:val="0"/>
          <w:iCs w:val="0"/>
        </w:rPr>
        <w:instrText xml:space="preserve"> HYPERLINK "https://docs.wixstatic.com/ugd/682071_b38eca7a172e4c5783cf6f7986086103.pdf"</w:instrText>
      </w:r>
      <w:r>
        <w:rPr>
          <w:rStyle w:val="Hyperlink.0"/>
          <w:rFonts w:ascii="Arial" w:cs="Arial" w:hAnsi="Arial" w:eastAsia="Arial"/>
          <w:i w:val="0"/>
          <w:iCs w:val="0"/>
        </w:rPr>
        <w:fldChar w:fldCharType="separate" w:fldLock="0"/>
      </w:r>
      <w:r>
        <w:rPr>
          <w:rStyle w:val="Hyperlink.0"/>
          <w:rFonts w:ascii="Arial" w:hAnsi="Arial" w:hint="default"/>
          <w:i w:val="0"/>
          <w:iCs w:val="0"/>
          <w:rtl w:val="0"/>
          <w:lang w:val="en-US"/>
        </w:rPr>
        <w:t>“</w:t>
      </w:r>
      <w:r>
        <w:rPr>
          <w:rStyle w:val="Hyperlink.0"/>
          <w:rFonts w:ascii="Arial" w:hAnsi="Arial"/>
          <w:i w:val="0"/>
          <w:iCs w:val="0"/>
          <w:rtl w:val="0"/>
          <w:lang w:val="en-US"/>
        </w:rPr>
        <w:t>Jury Openings: Persuading Without Advocating,</w:t>
      </w:r>
      <w:r>
        <w:rPr>
          <w:rStyle w:val="Hyperlink.0"/>
          <w:rFonts w:ascii="Arial" w:hAnsi="Arial" w:hint="default"/>
          <w:i w:val="0"/>
          <w:iCs w:val="0"/>
          <w:rtl w:val="0"/>
          <w:lang w:val="en-US"/>
        </w:rPr>
        <w:t xml:space="preserve">” </w:t>
      </w:r>
      <w:r>
        <w:rPr>
          <w:rStyle w:val="Hyperlink.0"/>
          <w:rFonts w:ascii="Arial" w:hAnsi="Arial"/>
          <w:i w:val="0"/>
          <w:iCs w:val="0"/>
          <w:rtl w:val="0"/>
          <w:lang w:val="en-US"/>
        </w:rPr>
        <w:t xml:space="preserve">by Mike Slater, Q.C. </w:t>
      </w:r>
      <w:r>
        <w:rPr>
          <w:rFonts w:ascii="Arial" w:cs="Arial" w:hAnsi="Arial" w:eastAsia="Arial"/>
          <w:i w:val="1"/>
          <w:iCs w:val="1"/>
        </w:rPr>
        <w:fldChar w:fldCharType="end" w:fldLock="0"/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Plaintiff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Opening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Condensed Trial Transcripts, Days 1-5, September 3-9, 2019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Notice of Demonstrative Evidence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Crawford v. Nazif, </w:t>
      </w:r>
      <w:r>
        <w:rPr>
          <w:rStyle w:val="Link"/>
          <w:rFonts w:ascii="Arial" w:cs="Arial" w:hAnsi="Arial" w:eastAsia="Arial"/>
        </w:rPr>
        <w:fldChar w:fldCharType="begin" w:fldLock="0"/>
      </w:r>
      <w:r>
        <w:rPr>
          <w:rStyle w:val="Link"/>
          <w:rFonts w:ascii="Arial" w:cs="Arial" w:hAnsi="Arial" w:eastAsia="Arial"/>
        </w:rPr>
        <w:instrText xml:space="preserve"> HYPERLINK "https://www.canlii.org/en/bc/bcsc/doc/2019/2019bcsc2337/2019bcsc2337.pdf"</w:instrText>
      </w:r>
      <w:r>
        <w:rPr>
          <w:rStyle w:val="Link"/>
          <w:rFonts w:ascii="Arial" w:cs="Arial" w:hAnsi="Arial" w:eastAsia="Arial"/>
        </w:rPr>
        <w:fldChar w:fldCharType="separate" w:fldLock="0"/>
      </w:r>
      <w:r>
        <w:rPr>
          <w:rStyle w:val="Link"/>
          <w:rFonts w:ascii="Arial" w:hAnsi="Arial"/>
          <w:rtl w:val="0"/>
          <w:lang w:val="en-US"/>
        </w:rPr>
        <w:t>2019 BCSC 2337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hAnsi="Arial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outline w:val="0"/>
          <w:color w:val="467886"/>
          <w:rtl w:val="0"/>
          <w:lang w:val="en-US"/>
          <w14:textFill>
            <w14:solidFill>
              <w14:srgbClr w14:val="467886"/>
            </w14:solidFill>
          </w14:textFill>
        </w:rPr>
      </w:pPr>
      <w:r>
        <w:rPr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Crawford v. Osuteye, </w:t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fldChar w:fldCharType="begin" w:fldLock="0"/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instrText xml:space="preserve"> HYPERLINK "https://www.canlii.org/en/bc/bcsc/doc/2019/2019bcsc2336/2019bcsc2336.html?autocompleteStr=crawford%2520v.%2520nazi&amp;autocompletePos=1"</w:instrText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fldChar w:fldCharType="separate" w:fldLock="0"/>
      </w:r>
      <w:r>
        <w:rPr>
          <w:rStyle w:val="Link"/>
          <w:outline w:val="0"/>
          <w:color w:val="467886"/>
          <w:u w:val="single" w:color="467886"/>
          <w:rtl w:val="0"/>
          <w:lang w:val="en-US"/>
          <w14:textFill>
            <w14:solidFill>
              <w14:srgbClr w14:val="467886"/>
            </w14:solidFill>
          </w14:textFill>
        </w:rPr>
        <w:t>2019 BCSC 2336</w:t>
      </w:r>
      <w:r>
        <w:rPr>
          <w:outline w:val="0"/>
          <w:color w:val="467886"/>
          <w14:textFill>
            <w14:solidFill>
              <w14:srgbClr w14:val="467886"/>
            </w14:solidFill>
          </w14:textFill>
        </w:rPr>
        <w:fldChar w:fldCharType="end" w:fldLock="0"/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Expert report of Dr. Ian Gillespie, January 23, 2019</w:t>
      </w:r>
    </w:p>
    <w:p>
      <w:pPr>
        <w:pStyle w:val="Defaul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Expert report of Dr. George Pawliuk, June 19, 2019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lang w:val="en-US"/>
        </w:rPr>
      </w:pPr>
    </w:p>
    <w:p>
      <w:pPr>
        <w:pStyle w:val="List Paragraph"/>
        <w:keepNext w:val="1"/>
        <w:keepLines w:val="1"/>
        <w:numPr>
          <w:ilvl w:val="0"/>
          <w:numId w:val="5"/>
        </w:numPr>
        <w:bidi w:val="0"/>
        <w:spacing w:before="360" w:after="36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u w:val="single"/>
          <w:rtl w:val="0"/>
          <w:lang w:val="en-US"/>
        </w:rPr>
        <w:t xml:space="preserve">MEDICAL MALPRACTICE CASE STUDY: </w:t>
      </w:r>
      <w:r>
        <w:rPr>
          <w:b w:val="1"/>
          <w:bCs w:val="1"/>
          <w:i w:val="1"/>
          <w:iCs w:val="1"/>
          <w:u w:val="single"/>
          <w:rtl w:val="0"/>
          <w:lang w:val="en-US"/>
        </w:rPr>
        <w:t xml:space="preserve">CRAWFORD v. NAZIF 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Pleadings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The importance of pleadings: Further Amended Notice of Civil Claim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Theory of the Case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Meet the parties</w:t>
      </w:r>
    </w:p>
    <w:p>
      <w:pPr>
        <w:pStyle w:val="Default"/>
        <w:numPr>
          <w:ilvl w:val="0"/>
          <w:numId w:val="9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Review of photographs and the facts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Duty of Care and Standard of Care</w:t>
      </w:r>
    </w:p>
    <w:p>
      <w:pPr>
        <w:pStyle w:val="Default"/>
        <w:numPr>
          <w:ilvl w:val="0"/>
          <w:numId w:val="11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Discussion</w:t>
      </w:r>
    </w:p>
    <w:p>
      <w:pPr>
        <w:pStyle w:val="Default"/>
        <w:numPr>
          <w:ilvl w:val="1"/>
          <w:numId w:val="11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Did Dr. Nazif owe Donna Crawford a duty of care?</w:t>
      </w:r>
    </w:p>
    <w:p>
      <w:pPr>
        <w:pStyle w:val="Default"/>
        <w:numPr>
          <w:ilvl w:val="1"/>
          <w:numId w:val="11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Did Dr. Nazif breach the requisite standard of care in decertifying Mr. Osuteye?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Mediation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Mediation Default: Oral Reasons of August 9, 2019, Crossin, J., in Chambers 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Opening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cs="Arial" w:hAnsi="Arial" w:eastAsia="Arial"/>
          <w:i w:val="1"/>
          <w:iCs w:val="1"/>
          <w:rtl w:val="0"/>
        </w:rPr>
      </w:pPr>
      <w:r>
        <w:rPr>
          <w:rStyle w:val="Hyperlink.0"/>
          <w:rFonts w:ascii="Arial" w:cs="Arial" w:hAnsi="Arial" w:eastAsia="Arial"/>
          <w:i w:val="0"/>
          <w:iCs w:val="0"/>
        </w:rPr>
        <w:fldChar w:fldCharType="begin" w:fldLock="0"/>
      </w:r>
      <w:r>
        <w:rPr>
          <w:rStyle w:val="Hyperlink.0"/>
          <w:rFonts w:ascii="Arial" w:cs="Arial" w:hAnsi="Arial" w:eastAsia="Arial"/>
          <w:i w:val="0"/>
          <w:iCs w:val="0"/>
        </w:rPr>
        <w:instrText xml:space="preserve"> HYPERLINK "https://docs.wixstatic.com/ugd/682071_b38eca7a172e4c5783cf6f7986086103.pdf"</w:instrText>
      </w:r>
      <w:r>
        <w:rPr>
          <w:rStyle w:val="Hyperlink.0"/>
          <w:rFonts w:ascii="Arial" w:cs="Arial" w:hAnsi="Arial" w:eastAsia="Arial"/>
          <w:i w:val="0"/>
          <w:iCs w:val="0"/>
        </w:rPr>
        <w:fldChar w:fldCharType="separate" w:fldLock="0"/>
      </w:r>
      <w:r>
        <w:rPr>
          <w:rStyle w:val="Hyperlink.0"/>
          <w:rFonts w:ascii="Arial" w:hAnsi="Arial" w:hint="default"/>
          <w:i w:val="0"/>
          <w:iCs w:val="0"/>
          <w:rtl w:val="0"/>
          <w:lang w:val="en-US"/>
        </w:rPr>
        <w:t>“</w:t>
      </w:r>
      <w:r>
        <w:rPr>
          <w:rStyle w:val="Hyperlink.0"/>
          <w:rFonts w:ascii="Arial" w:hAnsi="Arial"/>
          <w:i w:val="0"/>
          <w:iCs w:val="0"/>
          <w:rtl w:val="0"/>
          <w:lang w:val="en-US"/>
        </w:rPr>
        <w:t>Jury Openings: Persuading Without Advocating,</w:t>
      </w:r>
      <w:r>
        <w:rPr>
          <w:rStyle w:val="Hyperlink.0"/>
          <w:rFonts w:ascii="Arial" w:hAnsi="Arial" w:hint="default"/>
          <w:i w:val="0"/>
          <w:iCs w:val="0"/>
          <w:rtl w:val="0"/>
          <w:lang w:val="en-US"/>
        </w:rPr>
        <w:t xml:space="preserve">” </w:t>
      </w:r>
      <w:r>
        <w:rPr>
          <w:rStyle w:val="Hyperlink.0"/>
          <w:rFonts w:ascii="Arial" w:hAnsi="Arial"/>
          <w:i w:val="0"/>
          <w:iCs w:val="0"/>
          <w:rtl w:val="0"/>
          <w:lang w:val="en-US"/>
        </w:rPr>
        <w:t xml:space="preserve">by Mike Slater, Q.C. </w:t>
      </w:r>
      <w:r>
        <w:rPr>
          <w:rFonts w:ascii="Arial" w:cs="Arial" w:hAnsi="Arial" w:eastAsia="Arial"/>
          <w:i w:val="1"/>
          <w:iCs w:val="1"/>
        </w:rPr>
        <w:fldChar w:fldCharType="end" w:fldLock="0"/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</w:p>
    <w:p>
      <w:pPr>
        <w:pStyle w:val="Default"/>
        <w:numPr>
          <w:ilvl w:val="1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The </w:t>
      </w:r>
      <w:r>
        <w:rPr>
          <w:rFonts w:ascii="Arial" w:hAnsi="Arial"/>
          <w:i w:val="1"/>
          <w:iCs w:val="1"/>
          <w:rtl w:val="0"/>
          <w:lang w:val="en-US"/>
        </w:rPr>
        <w:t xml:space="preserve">David Ball </w:t>
      </w:r>
      <w:r>
        <w:rPr>
          <w:rFonts w:ascii="Arial" w:hAnsi="Arial"/>
          <w:rtl w:val="0"/>
          <w:lang w:val="en-US"/>
        </w:rPr>
        <w:t>approach</w:t>
      </w:r>
    </w:p>
    <w:p>
      <w:pPr>
        <w:pStyle w:val="Default"/>
        <w:numPr>
          <w:ilvl w:val="1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Review Plaintiff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Opening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Lay Witness Evidence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Will Says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Order of witnesses to fit the theory of the case 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Condensed Trial Transcripts, Days 1-5, September 3-9, 2019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Real Evidence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Notice of Demonstrative Evidence </w:t>
      </w:r>
    </w:p>
    <w:p>
      <w:pPr>
        <w:pStyle w:val="Default"/>
        <w:numPr>
          <w:ilvl w:val="1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Crawford v. Nazif, </w:t>
      </w:r>
      <w:r>
        <w:rPr>
          <w:rStyle w:val="Link"/>
          <w:rFonts w:ascii="Arial" w:cs="Arial" w:hAnsi="Arial" w:eastAsia="Arial"/>
        </w:rPr>
        <w:fldChar w:fldCharType="begin" w:fldLock="0"/>
      </w:r>
      <w:r>
        <w:rPr>
          <w:rStyle w:val="Link"/>
          <w:rFonts w:ascii="Arial" w:cs="Arial" w:hAnsi="Arial" w:eastAsia="Arial"/>
        </w:rPr>
        <w:instrText xml:space="preserve"> HYPERLINK "https://www.canlii.org/en/bc/bcsc/doc/2019/2019bcsc2337/2019bcsc2337.pdf"</w:instrText>
      </w:r>
      <w:r>
        <w:rPr>
          <w:rStyle w:val="Link"/>
          <w:rFonts w:ascii="Arial" w:cs="Arial" w:hAnsi="Arial" w:eastAsia="Arial"/>
        </w:rPr>
        <w:fldChar w:fldCharType="separate" w:fldLock="0"/>
      </w:r>
      <w:r>
        <w:rPr>
          <w:rStyle w:val="Link"/>
          <w:rFonts w:ascii="Arial" w:hAnsi="Arial"/>
          <w:rtl w:val="0"/>
          <w:lang w:val="en-US"/>
        </w:rPr>
        <w:t>2019 BCSC 2337</w:t>
      </w:r>
      <w:r>
        <w:rPr>
          <w:rFonts w:ascii="Arial" w:cs="Arial" w:hAnsi="Arial" w:eastAsia="Arial"/>
        </w:rPr>
        <w:fldChar w:fldCharType="end" w:fldLock="0"/>
      </w:r>
      <w:r>
        <w:rPr>
          <w:rFonts w:ascii="Arial" w:hAnsi="Arial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efault"/>
        <w:numPr>
          <w:ilvl w:val="1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Review of the visual and audio evidence</w:t>
      </w:r>
    </w:p>
    <w:p>
      <w:pPr>
        <w:pStyle w:val="Default"/>
        <w:spacing w:after="240"/>
        <w:ind w:firstLine="72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Expert Evidence</w:t>
      </w:r>
    </w:p>
    <w:p>
      <w:pPr>
        <w:pStyle w:val="List Paragraph"/>
        <w:numPr>
          <w:ilvl w:val="0"/>
          <w:numId w:val="7"/>
        </w:numPr>
        <w:bidi w:val="0"/>
        <w:spacing w:after="240"/>
        <w:ind w:right="0"/>
        <w:jc w:val="both"/>
        <w:rPr>
          <w:outline w:val="0"/>
          <w:color w:val="467886"/>
          <w:rtl w:val="0"/>
          <w:lang w:val="en-US"/>
          <w14:textFill>
            <w14:solidFill>
              <w14:srgbClr w14:val="467886"/>
            </w14:solidFill>
          </w14:textFill>
        </w:rPr>
      </w:pPr>
      <w:r>
        <w:rPr>
          <w:i w:val="1"/>
          <w:iCs w:val="1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Crawford v. Osuteye, </w:t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fldChar w:fldCharType="begin" w:fldLock="0"/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instrText xml:space="preserve"> HYPERLINK "https://www.canlii.org/en/bc/bcsc/doc/2019/2019bcsc2336/2019bcsc2336.html?autocompleteStr=crawford%2520v.%2520nazi&amp;autocompletePos=1"</w:instrText>
      </w:r>
      <w:r>
        <w:rPr>
          <w:rStyle w:val="Link"/>
          <w:outline w:val="0"/>
          <w:color w:val="467886"/>
          <w:u w:val="single" w:color="467886"/>
          <w14:textFill>
            <w14:solidFill>
              <w14:srgbClr w14:val="467886"/>
            </w14:solidFill>
          </w14:textFill>
        </w:rPr>
        <w:fldChar w:fldCharType="separate" w:fldLock="0"/>
      </w:r>
      <w:r>
        <w:rPr>
          <w:rStyle w:val="Link"/>
          <w:outline w:val="0"/>
          <w:color w:val="467886"/>
          <w:u w:val="single" w:color="467886"/>
          <w:rtl w:val="0"/>
          <w:lang w:val="en-US"/>
          <w14:textFill>
            <w14:solidFill>
              <w14:srgbClr w14:val="467886"/>
            </w14:solidFill>
          </w14:textFill>
        </w:rPr>
        <w:t>2019 BCSC 2336</w:t>
      </w:r>
      <w:r>
        <w:rPr>
          <w:outline w:val="0"/>
          <w:color w:val="467886"/>
          <w14:textFill>
            <w14:solidFill>
              <w14:srgbClr w14:val="467886"/>
            </w14:solidFill>
          </w14:textFill>
        </w:rPr>
        <w:fldChar w:fldCharType="end" w:fldLock="0"/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Expert report of Dr. Ian Gillespie, January 23, 2019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Expert report of Dr. George Pawliuk, June 19, 2019</w:t>
      </w:r>
    </w:p>
    <w:p>
      <w:pPr>
        <w:pStyle w:val="Default"/>
        <w:spacing w:after="240"/>
        <w:ind w:left="720" w:firstLine="0"/>
        <w:jc w:val="both"/>
        <w:rPr>
          <w:rFonts w:ascii="Arial" w:cs="Arial" w:hAnsi="Arial" w:eastAsia="Arial"/>
          <w:u w:val="single"/>
          <w:lang w:val="en-US"/>
        </w:rPr>
      </w:pPr>
      <w:r>
        <w:rPr>
          <w:rFonts w:ascii="Arial" w:hAnsi="Arial"/>
          <w:u w:val="single"/>
          <w:rtl w:val="0"/>
          <w:lang w:val="en-US"/>
        </w:rPr>
        <w:t>Resolution: Day 13 of 19 days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Advising the Court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Discharging (and thanking) the jury</w:t>
      </w:r>
    </w:p>
    <w:p>
      <w:pPr>
        <w:pStyle w:val="Default"/>
        <w:numPr>
          <w:ilvl w:val="0"/>
          <w:numId w:val="7"/>
        </w:numPr>
        <w:bidi w:val="0"/>
        <w:spacing w:after="240"/>
        <w:ind w:right="0"/>
        <w:jc w:val="both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Discussion and debate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Aptos Display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2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49" w:hanging="66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6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8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09" w:hanging="66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2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49" w:hanging="7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69" w:hanging="66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75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90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10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11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6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6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6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10"/>
      <w:kern w:val="28"/>
      <w:position w:val="0"/>
      <w:sz w:val="56"/>
      <w:szCs w:val="5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character" w:styleId="Link">
    <w:name w:val="Link"/>
    <w:rPr>
      <w:outline w:val="0"/>
      <w:color w:val="467886"/>
      <w:u w:val="single" w:color="467886"/>
      <w14:textFill>
        <w14:solidFill>
          <w14:srgbClr w14:val="467886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</w:rPr>
  </w:style>
  <w:style w:type="numbering" w:styleId="Imported Style 3">
    <w:name w:val="Imported Style 3"/>
    <w:pPr>
      <w:numPr>
        <w:numId w:val="6"/>
      </w:numPr>
    </w:pPr>
  </w:style>
  <w:style w:type="numbering" w:styleId="Imported Style 4">
    <w:name w:val="Imported Style 4"/>
    <w:pPr>
      <w:numPr>
        <w:numId w:val="8"/>
      </w:numPr>
    </w:pPr>
  </w:style>
  <w:style w:type="numbering" w:styleId="Imported Style 5">
    <w:name w:val="Imported Style 5"/>
    <w:pPr>
      <w:numPr>
        <w:numId w:val="10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Aptos Display"/>
        <a:ea typeface="Aptos Display"/>
        <a:cs typeface="Aptos Display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