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235" w:rsidRPr="004D21BB" w:rsidRDefault="00472235" w:rsidP="00472235">
      <w:pPr>
        <w:tabs>
          <w:tab w:val="center" w:pos="4513"/>
        </w:tabs>
        <w:suppressAutoHyphens/>
        <w:spacing w:line="240" w:lineRule="atLeast"/>
        <w:jc w:val="center"/>
        <w:rPr>
          <w:rFonts w:asciiTheme="majorHAnsi" w:hAnsiTheme="majorHAnsi"/>
          <w:b/>
          <w:bCs/>
          <w:spacing w:val="-3"/>
        </w:rPr>
      </w:pPr>
      <w:bookmarkStart w:id="0" w:name="_GoBack"/>
      <w:bookmarkEnd w:id="0"/>
      <w:r w:rsidRPr="004D21BB">
        <w:rPr>
          <w:rFonts w:asciiTheme="majorHAnsi" w:hAnsiTheme="majorHAnsi"/>
          <w:b/>
          <w:bCs/>
          <w:spacing w:val="-3"/>
        </w:rPr>
        <w:t>LAW 435C.001: PERSONAL INJURY ADVOCACY</w:t>
      </w:r>
    </w:p>
    <w:p w:rsidR="00472235" w:rsidRPr="004D21BB" w:rsidRDefault="00472235" w:rsidP="00472235">
      <w:pPr>
        <w:tabs>
          <w:tab w:val="center" w:pos="4513"/>
        </w:tabs>
        <w:suppressAutoHyphens/>
        <w:spacing w:line="240" w:lineRule="atLeast"/>
        <w:jc w:val="both"/>
        <w:rPr>
          <w:rFonts w:asciiTheme="majorHAnsi" w:hAnsiTheme="majorHAnsi"/>
          <w:b/>
          <w:bCs/>
          <w:spacing w:val="-3"/>
        </w:rPr>
      </w:pPr>
    </w:p>
    <w:p w:rsidR="00472235" w:rsidRPr="004D21BB" w:rsidRDefault="00472235" w:rsidP="00472235">
      <w:pPr>
        <w:tabs>
          <w:tab w:val="center" w:pos="4513"/>
        </w:tabs>
        <w:suppressAutoHyphens/>
        <w:spacing w:line="240" w:lineRule="atLeast"/>
        <w:jc w:val="center"/>
        <w:rPr>
          <w:rFonts w:asciiTheme="majorHAnsi" w:hAnsiTheme="majorHAnsi"/>
          <w:b/>
          <w:color w:val="0000FF"/>
          <w:spacing w:val="-3"/>
        </w:rPr>
      </w:pPr>
      <w:r w:rsidRPr="004D21BB">
        <w:rPr>
          <w:rFonts w:asciiTheme="majorHAnsi" w:hAnsiTheme="majorHAnsi"/>
          <w:b/>
          <w:bCs/>
          <w:spacing w:val="-3"/>
        </w:rPr>
        <w:t xml:space="preserve">WEEK </w:t>
      </w:r>
      <w:r w:rsidR="00276CEC">
        <w:rPr>
          <w:rFonts w:asciiTheme="majorHAnsi" w:hAnsiTheme="majorHAnsi"/>
          <w:b/>
          <w:bCs/>
          <w:spacing w:val="-3"/>
        </w:rPr>
        <w:t xml:space="preserve">9 and </w:t>
      </w:r>
      <w:r w:rsidR="00571D26">
        <w:rPr>
          <w:rFonts w:asciiTheme="majorHAnsi" w:hAnsiTheme="majorHAnsi"/>
          <w:b/>
          <w:bCs/>
          <w:spacing w:val="-3"/>
        </w:rPr>
        <w:t>10</w:t>
      </w:r>
      <w:r w:rsidRPr="004D21BB">
        <w:rPr>
          <w:rFonts w:asciiTheme="majorHAnsi" w:hAnsiTheme="majorHAnsi"/>
          <w:b/>
        </w:rPr>
        <w:t xml:space="preserve"> </w:t>
      </w:r>
      <w:r>
        <w:rPr>
          <w:rFonts w:asciiTheme="majorHAnsi" w:hAnsiTheme="majorHAnsi"/>
          <w:b/>
        </w:rPr>
        <w:t>–</w:t>
      </w:r>
      <w:r w:rsidRPr="004D21BB">
        <w:rPr>
          <w:rFonts w:asciiTheme="majorHAnsi" w:hAnsiTheme="majorHAnsi"/>
          <w:b/>
        </w:rPr>
        <w:t xml:space="preserve"> </w:t>
      </w:r>
      <w:r w:rsidR="00571D26">
        <w:rPr>
          <w:rFonts w:asciiTheme="majorHAnsi" w:hAnsiTheme="majorHAnsi"/>
          <w:b/>
        </w:rPr>
        <w:t>Trial: Openings</w:t>
      </w:r>
      <w:r w:rsidR="00276CEC">
        <w:rPr>
          <w:rFonts w:asciiTheme="majorHAnsi" w:hAnsiTheme="majorHAnsi"/>
          <w:b/>
        </w:rPr>
        <w:t>, Evidence and</w:t>
      </w:r>
      <w:r w:rsidR="00571D26">
        <w:rPr>
          <w:rFonts w:asciiTheme="majorHAnsi" w:hAnsiTheme="majorHAnsi"/>
          <w:b/>
        </w:rPr>
        <w:t xml:space="preserve"> Closing</w:t>
      </w:r>
      <w:r w:rsidRPr="004D21BB">
        <w:rPr>
          <w:rFonts w:asciiTheme="majorHAnsi" w:hAnsiTheme="majorHAnsi"/>
          <w:b/>
          <w:bCs/>
          <w:u w:val="single"/>
        </w:rPr>
        <w:br/>
      </w:r>
    </w:p>
    <w:p w:rsidR="00472235" w:rsidRDefault="00472235" w:rsidP="00472235">
      <w:pPr>
        <w:pStyle w:val="Default"/>
        <w:numPr>
          <w:ilvl w:val="1"/>
          <w:numId w:val="1"/>
        </w:numPr>
        <w:jc w:val="both"/>
        <w:rPr>
          <w:rFonts w:asciiTheme="majorHAnsi" w:hAnsiTheme="majorHAnsi"/>
          <w:b/>
        </w:rPr>
      </w:pPr>
      <w:r>
        <w:rPr>
          <w:rFonts w:asciiTheme="majorHAnsi" w:hAnsiTheme="majorHAnsi"/>
          <w:b/>
        </w:rPr>
        <w:t>Teaching Objectives – Review of outstanding issues from previous classes</w:t>
      </w:r>
    </w:p>
    <w:p w:rsidR="00472235" w:rsidRPr="00472235" w:rsidRDefault="00472235" w:rsidP="00472235">
      <w:pPr>
        <w:pStyle w:val="Default"/>
        <w:jc w:val="both"/>
        <w:rPr>
          <w:rFonts w:asciiTheme="majorHAnsi" w:hAnsiTheme="majorHAnsi"/>
        </w:rPr>
      </w:pPr>
    </w:p>
    <w:p w:rsidR="00C55AE9" w:rsidRDefault="00C55AE9" w:rsidP="00C55AE9">
      <w:pPr>
        <w:pStyle w:val="Default"/>
        <w:numPr>
          <w:ilvl w:val="0"/>
          <w:numId w:val="3"/>
        </w:numPr>
        <w:jc w:val="both"/>
        <w:rPr>
          <w:rFonts w:asciiTheme="majorHAnsi" w:hAnsiTheme="majorHAnsi"/>
        </w:rPr>
      </w:pPr>
      <w:r>
        <w:rPr>
          <w:rFonts w:asciiTheme="majorHAnsi" w:hAnsiTheme="majorHAnsi"/>
        </w:rPr>
        <w:t>Direct and Cross examination - techniques, strategies and preparation for introducing evidence at trial</w:t>
      </w:r>
    </w:p>
    <w:p w:rsidR="00C55AE9" w:rsidRDefault="00C55AE9" w:rsidP="00C55AE9">
      <w:pPr>
        <w:pStyle w:val="Default"/>
        <w:ind w:left="360"/>
        <w:jc w:val="both"/>
        <w:rPr>
          <w:rFonts w:asciiTheme="majorHAnsi" w:hAnsiTheme="majorHAnsi"/>
        </w:rPr>
      </w:pPr>
    </w:p>
    <w:p w:rsidR="00472235" w:rsidRDefault="00472235" w:rsidP="00472235">
      <w:pPr>
        <w:pStyle w:val="Default"/>
        <w:numPr>
          <w:ilvl w:val="0"/>
          <w:numId w:val="3"/>
        </w:numPr>
        <w:jc w:val="both"/>
        <w:rPr>
          <w:rFonts w:asciiTheme="majorHAnsi" w:hAnsiTheme="majorHAnsi"/>
        </w:rPr>
      </w:pPr>
      <w:r>
        <w:rPr>
          <w:rFonts w:asciiTheme="majorHAnsi" w:hAnsiTheme="majorHAnsi"/>
        </w:rPr>
        <w:t xml:space="preserve">Openings – </w:t>
      </w:r>
      <w:r w:rsidR="00571D26">
        <w:rPr>
          <w:rFonts w:asciiTheme="majorHAnsi" w:hAnsiTheme="majorHAnsi"/>
        </w:rPr>
        <w:t>boundaries (case law review) and use of the Ball approach in BC</w:t>
      </w:r>
      <w:r w:rsidR="00C55AE9">
        <w:rPr>
          <w:rFonts w:asciiTheme="majorHAnsi" w:hAnsiTheme="majorHAnsi"/>
        </w:rPr>
        <w:t>.</w:t>
      </w:r>
    </w:p>
    <w:p w:rsidR="00571D26" w:rsidRPr="00C55AE9" w:rsidRDefault="00571D26" w:rsidP="00C55AE9">
      <w:pPr>
        <w:rPr>
          <w:rFonts w:asciiTheme="majorHAnsi" w:hAnsiTheme="majorHAnsi"/>
        </w:rPr>
      </w:pPr>
    </w:p>
    <w:p w:rsidR="00571D26" w:rsidRPr="00472235" w:rsidRDefault="00571D26" w:rsidP="00472235">
      <w:pPr>
        <w:pStyle w:val="Default"/>
        <w:numPr>
          <w:ilvl w:val="0"/>
          <w:numId w:val="3"/>
        </w:numPr>
        <w:jc w:val="both"/>
        <w:rPr>
          <w:rFonts w:asciiTheme="majorHAnsi" w:hAnsiTheme="majorHAnsi"/>
        </w:rPr>
      </w:pPr>
      <w:r>
        <w:rPr>
          <w:rFonts w:asciiTheme="majorHAnsi" w:hAnsiTheme="majorHAnsi"/>
        </w:rPr>
        <w:t>Closing submissions – tying it all together.</w:t>
      </w:r>
    </w:p>
    <w:p w:rsidR="000A349A" w:rsidRDefault="000A349A" w:rsidP="000A349A">
      <w:pPr>
        <w:pStyle w:val="ListParagraph"/>
        <w:rPr>
          <w:rFonts w:asciiTheme="majorHAnsi" w:hAnsiTheme="majorHAnsi"/>
        </w:rPr>
      </w:pPr>
    </w:p>
    <w:p w:rsidR="00472235" w:rsidRPr="00472235" w:rsidRDefault="00472235" w:rsidP="00472235">
      <w:pPr>
        <w:pStyle w:val="Default"/>
        <w:jc w:val="both"/>
        <w:rPr>
          <w:rFonts w:asciiTheme="majorHAnsi" w:hAnsiTheme="majorHAnsi"/>
        </w:rPr>
      </w:pPr>
    </w:p>
    <w:p w:rsidR="00472235" w:rsidRPr="002A6876" w:rsidRDefault="008F0612" w:rsidP="002A6876">
      <w:pPr>
        <w:pStyle w:val="Default"/>
        <w:numPr>
          <w:ilvl w:val="1"/>
          <w:numId w:val="1"/>
        </w:numPr>
        <w:jc w:val="both"/>
        <w:rPr>
          <w:rFonts w:asciiTheme="majorHAnsi" w:hAnsiTheme="majorHAnsi"/>
          <w:b/>
        </w:rPr>
      </w:pPr>
      <w:r>
        <w:rPr>
          <w:rFonts w:asciiTheme="majorHAnsi" w:hAnsiTheme="majorHAnsi"/>
          <w:b/>
        </w:rPr>
        <w:t xml:space="preserve"> </w:t>
      </w:r>
      <w:r w:rsidRPr="002A6876">
        <w:rPr>
          <w:rFonts w:asciiTheme="majorHAnsi" w:hAnsiTheme="majorHAnsi"/>
          <w:b/>
        </w:rPr>
        <w:t>H</w:t>
      </w:r>
      <w:r w:rsidR="000A349A" w:rsidRPr="002A6876">
        <w:rPr>
          <w:rFonts w:asciiTheme="majorHAnsi" w:hAnsiTheme="majorHAnsi"/>
          <w:b/>
        </w:rPr>
        <w:t>ousekeeping</w:t>
      </w:r>
    </w:p>
    <w:p w:rsidR="008F0612" w:rsidRDefault="008F0612" w:rsidP="008F0612">
      <w:pPr>
        <w:pStyle w:val="Default"/>
        <w:jc w:val="both"/>
        <w:rPr>
          <w:rFonts w:asciiTheme="majorHAnsi" w:hAnsiTheme="majorHAnsi"/>
        </w:rPr>
      </w:pPr>
    </w:p>
    <w:p w:rsidR="00276CEC" w:rsidRDefault="00276CEC" w:rsidP="008F0612">
      <w:pPr>
        <w:pStyle w:val="Default"/>
        <w:numPr>
          <w:ilvl w:val="0"/>
          <w:numId w:val="15"/>
        </w:numPr>
        <w:jc w:val="both"/>
        <w:rPr>
          <w:rFonts w:asciiTheme="majorHAnsi" w:hAnsiTheme="majorHAnsi"/>
        </w:rPr>
      </w:pPr>
      <w:r>
        <w:rPr>
          <w:rFonts w:asciiTheme="majorHAnsi" w:hAnsiTheme="majorHAnsi"/>
        </w:rPr>
        <w:t>March 28, 2016 - no class next week (Easter Monday).</w:t>
      </w:r>
    </w:p>
    <w:p w:rsidR="00276CEC" w:rsidRDefault="00276CEC" w:rsidP="00276CEC">
      <w:pPr>
        <w:pStyle w:val="Default"/>
        <w:ind w:left="360"/>
        <w:jc w:val="both"/>
        <w:rPr>
          <w:rFonts w:asciiTheme="majorHAnsi" w:hAnsiTheme="majorHAnsi"/>
        </w:rPr>
      </w:pPr>
    </w:p>
    <w:p w:rsidR="00276CEC" w:rsidRDefault="00276CEC" w:rsidP="008F0612">
      <w:pPr>
        <w:pStyle w:val="Default"/>
        <w:numPr>
          <w:ilvl w:val="0"/>
          <w:numId w:val="15"/>
        </w:numPr>
        <w:jc w:val="both"/>
        <w:rPr>
          <w:rFonts w:asciiTheme="majorHAnsi" w:hAnsiTheme="majorHAnsi"/>
        </w:rPr>
      </w:pPr>
      <w:r>
        <w:rPr>
          <w:rFonts w:asciiTheme="majorHAnsi" w:hAnsiTheme="majorHAnsi"/>
        </w:rPr>
        <w:t>April 4, 2016 - we have an optional class that is a review of the course and exam preparation – feel free to show up if you have any questions or concerns.</w:t>
      </w:r>
    </w:p>
    <w:p w:rsidR="00276CEC" w:rsidRDefault="00276CEC" w:rsidP="00276CEC">
      <w:pPr>
        <w:pStyle w:val="ListParagraph"/>
        <w:rPr>
          <w:rFonts w:asciiTheme="majorHAnsi" w:hAnsiTheme="majorHAnsi"/>
        </w:rPr>
      </w:pPr>
    </w:p>
    <w:p w:rsidR="00276CEC" w:rsidRDefault="00276CEC" w:rsidP="008F0612">
      <w:pPr>
        <w:pStyle w:val="Default"/>
        <w:numPr>
          <w:ilvl w:val="0"/>
          <w:numId w:val="15"/>
        </w:numPr>
        <w:jc w:val="both"/>
        <w:rPr>
          <w:rFonts w:asciiTheme="majorHAnsi" w:hAnsiTheme="majorHAnsi"/>
        </w:rPr>
      </w:pPr>
      <w:r>
        <w:rPr>
          <w:rFonts w:asciiTheme="majorHAnsi" w:hAnsiTheme="majorHAnsi"/>
        </w:rPr>
        <w:t>April 13, 2016 – the exam is scheduled for 9:00 am.</w:t>
      </w:r>
    </w:p>
    <w:p w:rsidR="00276CEC" w:rsidRDefault="00276CEC" w:rsidP="00276CEC">
      <w:pPr>
        <w:pStyle w:val="Default"/>
        <w:ind w:left="360"/>
        <w:jc w:val="both"/>
        <w:rPr>
          <w:rFonts w:asciiTheme="majorHAnsi" w:hAnsiTheme="majorHAnsi"/>
        </w:rPr>
      </w:pPr>
    </w:p>
    <w:p w:rsidR="008F0612" w:rsidRDefault="008F0612" w:rsidP="008F0612">
      <w:pPr>
        <w:pStyle w:val="Default"/>
        <w:numPr>
          <w:ilvl w:val="0"/>
          <w:numId w:val="15"/>
        </w:numPr>
        <w:jc w:val="both"/>
        <w:rPr>
          <w:rFonts w:asciiTheme="majorHAnsi" w:hAnsiTheme="majorHAnsi"/>
        </w:rPr>
      </w:pPr>
      <w:r>
        <w:rPr>
          <w:rFonts w:asciiTheme="majorHAnsi" w:hAnsiTheme="majorHAnsi"/>
        </w:rPr>
        <w:t xml:space="preserve">Materials required for exam: </w:t>
      </w:r>
    </w:p>
    <w:p w:rsidR="008F0612" w:rsidRDefault="008F0612" w:rsidP="008F0612">
      <w:pPr>
        <w:pStyle w:val="Default"/>
        <w:ind w:left="360"/>
        <w:jc w:val="both"/>
        <w:rPr>
          <w:rFonts w:asciiTheme="majorHAnsi" w:hAnsiTheme="majorHAnsi"/>
        </w:rPr>
      </w:pPr>
    </w:p>
    <w:p w:rsidR="008F0612" w:rsidRDefault="008F0612" w:rsidP="008F0612">
      <w:pPr>
        <w:pStyle w:val="Default"/>
        <w:numPr>
          <w:ilvl w:val="1"/>
          <w:numId w:val="15"/>
        </w:numPr>
        <w:jc w:val="both"/>
        <w:rPr>
          <w:rFonts w:asciiTheme="majorHAnsi" w:hAnsiTheme="majorHAnsi"/>
        </w:rPr>
      </w:pPr>
      <w:r>
        <w:rPr>
          <w:rFonts w:asciiTheme="majorHAnsi" w:hAnsiTheme="majorHAnsi"/>
        </w:rPr>
        <w:t>Motor Vehicle Act – Part 3 (sections 119 to 214.6)</w:t>
      </w:r>
    </w:p>
    <w:p w:rsidR="008F0612" w:rsidRDefault="008F0612" w:rsidP="008F0612">
      <w:pPr>
        <w:pStyle w:val="Default"/>
        <w:numPr>
          <w:ilvl w:val="1"/>
          <w:numId w:val="15"/>
        </w:numPr>
        <w:jc w:val="both"/>
        <w:rPr>
          <w:rFonts w:asciiTheme="majorHAnsi" w:hAnsiTheme="majorHAnsi"/>
        </w:rPr>
      </w:pPr>
      <w:r>
        <w:rPr>
          <w:rFonts w:asciiTheme="majorHAnsi" w:hAnsiTheme="majorHAnsi"/>
        </w:rPr>
        <w:t>Insurance (Vehicle) Regulations</w:t>
      </w:r>
      <w:r w:rsidRPr="008F0612">
        <w:rPr>
          <w:rFonts w:asciiTheme="majorHAnsi" w:hAnsiTheme="majorHAnsi"/>
        </w:rPr>
        <w:t xml:space="preserve"> </w:t>
      </w:r>
      <w:r>
        <w:rPr>
          <w:rFonts w:asciiTheme="majorHAnsi" w:hAnsiTheme="majorHAnsi"/>
        </w:rPr>
        <w:t xml:space="preserve">- Part 7 </w:t>
      </w:r>
    </w:p>
    <w:p w:rsidR="008F0612" w:rsidRDefault="008F0612" w:rsidP="008F0612">
      <w:pPr>
        <w:pStyle w:val="Default"/>
        <w:numPr>
          <w:ilvl w:val="1"/>
          <w:numId w:val="15"/>
        </w:numPr>
        <w:jc w:val="both"/>
        <w:rPr>
          <w:rFonts w:asciiTheme="majorHAnsi" w:hAnsiTheme="majorHAnsi"/>
        </w:rPr>
      </w:pPr>
      <w:r>
        <w:rPr>
          <w:rFonts w:asciiTheme="majorHAnsi" w:hAnsiTheme="majorHAnsi"/>
        </w:rPr>
        <w:t>Negligence Act</w:t>
      </w:r>
    </w:p>
    <w:p w:rsidR="008F0612" w:rsidRDefault="008F0612" w:rsidP="008F0612">
      <w:pPr>
        <w:pStyle w:val="Default"/>
        <w:numPr>
          <w:ilvl w:val="1"/>
          <w:numId w:val="15"/>
        </w:numPr>
        <w:jc w:val="both"/>
        <w:rPr>
          <w:rFonts w:asciiTheme="majorHAnsi" w:hAnsiTheme="majorHAnsi"/>
        </w:rPr>
      </w:pPr>
      <w:r>
        <w:rPr>
          <w:rFonts w:asciiTheme="majorHAnsi" w:hAnsiTheme="majorHAnsi"/>
        </w:rPr>
        <w:t>Occupier’s Liability Act</w:t>
      </w:r>
    </w:p>
    <w:p w:rsidR="008F0612" w:rsidRDefault="008F0612" w:rsidP="008F0612">
      <w:pPr>
        <w:pStyle w:val="Default"/>
        <w:numPr>
          <w:ilvl w:val="1"/>
          <w:numId w:val="15"/>
        </w:numPr>
        <w:jc w:val="both"/>
        <w:rPr>
          <w:rFonts w:asciiTheme="majorHAnsi" w:hAnsiTheme="majorHAnsi"/>
        </w:rPr>
      </w:pPr>
      <w:r>
        <w:rPr>
          <w:rFonts w:asciiTheme="majorHAnsi" w:hAnsiTheme="majorHAnsi"/>
        </w:rPr>
        <w:t xml:space="preserve">Class papers posted on the website </w:t>
      </w:r>
    </w:p>
    <w:p w:rsidR="008F0612" w:rsidRDefault="008F0612" w:rsidP="008F0612">
      <w:pPr>
        <w:pStyle w:val="Default"/>
        <w:numPr>
          <w:ilvl w:val="1"/>
          <w:numId w:val="15"/>
        </w:numPr>
        <w:jc w:val="both"/>
        <w:rPr>
          <w:rFonts w:asciiTheme="majorHAnsi" w:hAnsiTheme="majorHAnsi"/>
        </w:rPr>
      </w:pPr>
      <w:r>
        <w:rPr>
          <w:rFonts w:asciiTheme="majorHAnsi" w:hAnsiTheme="majorHAnsi"/>
        </w:rPr>
        <w:t>Cases posted on website</w:t>
      </w:r>
    </w:p>
    <w:p w:rsidR="008F0612" w:rsidRDefault="008F0612" w:rsidP="008F0612">
      <w:pPr>
        <w:pStyle w:val="Default"/>
        <w:numPr>
          <w:ilvl w:val="1"/>
          <w:numId w:val="15"/>
        </w:numPr>
        <w:jc w:val="both"/>
        <w:rPr>
          <w:rFonts w:asciiTheme="majorHAnsi" w:hAnsiTheme="majorHAnsi"/>
        </w:rPr>
      </w:pPr>
      <w:r>
        <w:rPr>
          <w:rFonts w:asciiTheme="majorHAnsi" w:hAnsiTheme="majorHAnsi"/>
        </w:rPr>
        <w:t>Lecture notes posted on the website</w:t>
      </w:r>
      <w:r w:rsidR="00A018E7">
        <w:rPr>
          <w:rFonts w:asciiTheme="majorHAnsi" w:hAnsiTheme="majorHAnsi"/>
        </w:rPr>
        <w:t xml:space="preserve"> and your own notes.</w:t>
      </w:r>
    </w:p>
    <w:p w:rsidR="008F0612" w:rsidRDefault="008F0612" w:rsidP="008F0612">
      <w:pPr>
        <w:pStyle w:val="ListParagraph"/>
        <w:rPr>
          <w:rFonts w:asciiTheme="majorHAnsi" w:hAnsiTheme="majorHAnsi"/>
        </w:rPr>
      </w:pPr>
    </w:p>
    <w:p w:rsidR="00514F80" w:rsidRDefault="00514F80" w:rsidP="008F0612">
      <w:pPr>
        <w:pStyle w:val="Default"/>
        <w:numPr>
          <w:ilvl w:val="0"/>
          <w:numId w:val="15"/>
        </w:numPr>
        <w:jc w:val="both"/>
        <w:rPr>
          <w:rFonts w:asciiTheme="majorHAnsi" w:hAnsiTheme="majorHAnsi"/>
        </w:rPr>
      </w:pPr>
      <w:r>
        <w:rPr>
          <w:rFonts w:asciiTheme="majorHAnsi" w:hAnsiTheme="majorHAnsi"/>
        </w:rPr>
        <w:t>Papers – I received a litany of questions this past week and will provide a detailed reply to those emails tomorrow.</w:t>
      </w:r>
    </w:p>
    <w:p w:rsidR="002A6876" w:rsidRDefault="002A6876" w:rsidP="002A6876">
      <w:pPr>
        <w:pStyle w:val="Default"/>
        <w:ind w:left="360"/>
        <w:jc w:val="both"/>
        <w:rPr>
          <w:rFonts w:asciiTheme="majorHAnsi" w:hAnsiTheme="majorHAnsi"/>
        </w:rPr>
      </w:pPr>
    </w:p>
    <w:p w:rsidR="002A6876" w:rsidRPr="002A6876" w:rsidRDefault="002A6876" w:rsidP="002A6876">
      <w:pPr>
        <w:pStyle w:val="Default"/>
        <w:jc w:val="both"/>
        <w:rPr>
          <w:rFonts w:asciiTheme="majorHAnsi" w:hAnsiTheme="majorHAnsi"/>
        </w:rPr>
      </w:pPr>
    </w:p>
    <w:p w:rsidR="000A349A" w:rsidRPr="00514F80" w:rsidRDefault="00514F80" w:rsidP="00514F80">
      <w:pPr>
        <w:pStyle w:val="Default"/>
        <w:numPr>
          <w:ilvl w:val="1"/>
          <w:numId w:val="1"/>
        </w:numPr>
        <w:jc w:val="both"/>
        <w:rPr>
          <w:rFonts w:asciiTheme="majorHAnsi" w:hAnsiTheme="majorHAnsi"/>
          <w:b/>
          <w:color w:val="auto"/>
        </w:rPr>
      </w:pPr>
      <w:r w:rsidRPr="00514F80">
        <w:rPr>
          <w:rFonts w:asciiTheme="majorHAnsi" w:hAnsiTheme="majorHAnsi"/>
          <w:b/>
          <w:color w:val="auto"/>
          <w:sz w:val="22"/>
          <w:szCs w:val="22"/>
        </w:rPr>
        <w:t xml:space="preserve"> Introducing evidence at Trial</w:t>
      </w:r>
    </w:p>
    <w:p w:rsidR="000A349A" w:rsidRPr="000A349A" w:rsidRDefault="000A349A" w:rsidP="000A349A">
      <w:pPr>
        <w:pStyle w:val="Default"/>
        <w:jc w:val="both"/>
        <w:rPr>
          <w:rFonts w:asciiTheme="majorHAnsi" w:hAnsiTheme="majorHAnsi"/>
          <w:color w:val="auto"/>
          <w:sz w:val="22"/>
          <w:szCs w:val="22"/>
        </w:rPr>
      </w:pPr>
    </w:p>
    <w:p w:rsidR="00514F80" w:rsidRDefault="00514F80" w:rsidP="000A349A">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How is evidence introduced at trial: oral evidence from witnesses (lay and expert), documentary evidence, read-ins from discovery transcripts, admissions, demonstrative evidence (photographs), and lastly, judicial notice.</w:t>
      </w:r>
    </w:p>
    <w:p w:rsidR="00514F80" w:rsidRDefault="00514F80" w:rsidP="00514F80">
      <w:pPr>
        <w:pStyle w:val="Default"/>
        <w:ind w:left="360"/>
        <w:jc w:val="both"/>
        <w:rPr>
          <w:rFonts w:asciiTheme="majorHAnsi" w:hAnsiTheme="majorHAnsi"/>
          <w:color w:val="auto"/>
          <w:sz w:val="22"/>
          <w:szCs w:val="22"/>
        </w:rPr>
      </w:pPr>
    </w:p>
    <w:p w:rsidR="000A349A" w:rsidRDefault="00514F80" w:rsidP="000A349A">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We are focused on oral evidence from witnesses which consists of:</w:t>
      </w:r>
      <w:r w:rsidR="000A349A">
        <w:rPr>
          <w:rFonts w:asciiTheme="majorHAnsi" w:hAnsiTheme="majorHAnsi"/>
          <w:color w:val="auto"/>
          <w:sz w:val="22"/>
          <w:szCs w:val="22"/>
        </w:rPr>
        <w:t xml:space="preserve"> direct, cross, and redirect.  </w:t>
      </w:r>
    </w:p>
    <w:p w:rsidR="000A349A" w:rsidRDefault="000A349A" w:rsidP="000A349A">
      <w:pPr>
        <w:pStyle w:val="Default"/>
        <w:ind w:left="360"/>
        <w:jc w:val="both"/>
        <w:rPr>
          <w:rFonts w:asciiTheme="majorHAnsi" w:hAnsiTheme="majorHAnsi"/>
          <w:color w:val="auto"/>
          <w:sz w:val="22"/>
          <w:szCs w:val="22"/>
        </w:rPr>
      </w:pPr>
    </w:p>
    <w:p w:rsidR="00514F80" w:rsidRDefault="00514F80" w:rsidP="00514F80">
      <w:pPr>
        <w:pStyle w:val="Default"/>
        <w:numPr>
          <w:ilvl w:val="0"/>
          <w:numId w:val="4"/>
        </w:numPr>
        <w:jc w:val="both"/>
        <w:rPr>
          <w:rFonts w:asciiTheme="majorHAnsi" w:hAnsiTheme="majorHAnsi"/>
          <w:color w:val="FF0000"/>
          <w:sz w:val="22"/>
          <w:szCs w:val="22"/>
          <w:u w:val="single"/>
        </w:rPr>
      </w:pPr>
      <w:r>
        <w:rPr>
          <w:rFonts w:asciiTheme="majorHAnsi" w:hAnsiTheme="majorHAnsi"/>
          <w:color w:val="FF0000"/>
          <w:sz w:val="22"/>
          <w:szCs w:val="22"/>
          <w:u w:val="single"/>
        </w:rPr>
        <w:t>Direct Evidence</w:t>
      </w:r>
    </w:p>
    <w:p w:rsidR="0075210F" w:rsidRDefault="0075210F" w:rsidP="0075210F">
      <w:pPr>
        <w:pStyle w:val="Default"/>
        <w:jc w:val="both"/>
        <w:rPr>
          <w:rFonts w:asciiTheme="majorHAnsi" w:hAnsiTheme="majorHAnsi"/>
          <w:color w:val="auto"/>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 xml:space="preserve">Direct evidence is relatively straightforward – this is where you tell the plaintiff’s story through the witnesses that you decide to call at trial.  </w:t>
      </w:r>
    </w:p>
    <w:p w:rsidR="0075210F" w:rsidRDefault="0075210F" w:rsidP="0075210F">
      <w:pPr>
        <w:pStyle w:val="ListParagraph"/>
        <w:rPr>
          <w:rFonts w:asciiTheme="majorHAnsi" w:hAnsiTheme="majorHAnsi"/>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 xml:space="preserve">The </w:t>
      </w:r>
      <w:r w:rsidRPr="00514F80">
        <w:rPr>
          <w:rFonts w:asciiTheme="majorHAnsi" w:hAnsiTheme="majorHAnsi"/>
          <w:color w:val="auto"/>
          <w:sz w:val="22"/>
          <w:szCs w:val="22"/>
        </w:rPr>
        <w:t>types of witnesses relied upon</w:t>
      </w:r>
      <w:r>
        <w:rPr>
          <w:rFonts w:asciiTheme="majorHAnsi" w:hAnsiTheme="majorHAnsi"/>
          <w:color w:val="auto"/>
          <w:sz w:val="22"/>
          <w:szCs w:val="22"/>
        </w:rPr>
        <w:t xml:space="preserve"> at trial</w:t>
      </w:r>
      <w:r w:rsidRPr="00514F80">
        <w:rPr>
          <w:rFonts w:asciiTheme="majorHAnsi" w:hAnsiTheme="majorHAnsi"/>
          <w:color w:val="auto"/>
          <w:sz w:val="22"/>
          <w:szCs w:val="22"/>
        </w:rPr>
        <w:t>: liability witnesses, emergency witnesses (police, ambulance, fire), collateral witnesses (friends and family), work witnesses (co-workers, supervisors, etc</w:t>
      </w:r>
      <w:proofErr w:type="gramStart"/>
      <w:r w:rsidRPr="00514F80">
        <w:rPr>
          <w:rFonts w:asciiTheme="majorHAnsi" w:hAnsiTheme="majorHAnsi"/>
          <w:color w:val="auto"/>
          <w:sz w:val="22"/>
          <w:szCs w:val="22"/>
        </w:rPr>
        <w:t>..)</w:t>
      </w:r>
      <w:proofErr w:type="gramEnd"/>
      <w:r w:rsidRPr="00514F80">
        <w:rPr>
          <w:rFonts w:asciiTheme="majorHAnsi" w:hAnsiTheme="majorHAnsi"/>
          <w:color w:val="auto"/>
          <w:sz w:val="22"/>
          <w:szCs w:val="22"/>
        </w:rPr>
        <w:t>, and most importantly the plaintiff.</w:t>
      </w:r>
    </w:p>
    <w:p w:rsidR="0075210F" w:rsidRDefault="0075210F" w:rsidP="0075210F">
      <w:pPr>
        <w:pStyle w:val="ListParagraph"/>
        <w:rPr>
          <w:rFonts w:asciiTheme="majorHAnsi" w:hAnsiTheme="majorHAnsi"/>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sidRPr="0075210F">
        <w:rPr>
          <w:rFonts w:asciiTheme="majorHAnsi" w:hAnsiTheme="majorHAnsi"/>
          <w:color w:val="auto"/>
          <w:sz w:val="22"/>
          <w:szCs w:val="22"/>
        </w:rPr>
        <w:t xml:space="preserve">The limits of </w:t>
      </w:r>
      <w:r>
        <w:rPr>
          <w:rFonts w:asciiTheme="majorHAnsi" w:hAnsiTheme="majorHAnsi"/>
          <w:color w:val="auto"/>
          <w:sz w:val="22"/>
          <w:szCs w:val="22"/>
        </w:rPr>
        <w:t xml:space="preserve">lay </w:t>
      </w:r>
      <w:r w:rsidRPr="0075210F">
        <w:rPr>
          <w:rFonts w:asciiTheme="majorHAnsi" w:hAnsiTheme="majorHAnsi"/>
          <w:color w:val="auto"/>
          <w:sz w:val="22"/>
          <w:szCs w:val="22"/>
        </w:rPr>
        <w:t>evidence – which is essentially a review of the law of evidence and includes the prohibition against hearsay, oath helping, and no expert evidence u</w:t>
      </w:r>
      <w:r>
        <w:rPr>
          <w:rFonts w:asciiTheme="majorHAnsi" w:hAnsiTheme="majorHAnsi"/>
          <w:color w:val="auto"/>
          <w:sz w:val="22"/>
          <w:szCs w:val="22"/>
        </w:rPr>
        <w:t xml:space="preserve">nless properly qualified. </w:t>
      </w:r>
    </w:p>
    <w:p w:rsidR="0075210F" w:rsidRDefault="0075210F" w:rsidP="0075210F">
      <w:pPr>
        <w:pStyle w:val="ListParagraph"/>
        <w:rPr>
          <w:rFonts w:asciiTheme="majorHAnsi" w:hAnsiTheme="majorHAnsi"/>
          <w:sz w:val="22"/>
          <w:szCs w:val="22"/>
        </w:rPr>
      </w:pPr>
    </w:p>
    <w:p w:rsidR="0075210F" w:rsidRPr="0075210F" w:rsidRDefault="0075210F" w:rsidP="0075210F">
      <w:pPr>
        <w:pStyle w:val="Default"/>
        <w:numPr>
          <w:ilvl w:val="0"/>
          <w:numId w:val="5"/>
        </w:numPr>
        <w:jc w:val="both"/>
        <w:rPr>
          <w:rFonts w:asciiTheme="majorHAnsi" w:hAnsiTheme="majorHAnsi"/>
          <w:color w:val="auto"/>
          <w:sz w:val="22"/>
          <w:szCs w:val="22"/>
        </w:rPr>
      </w:pPr>
      <w:r w:rsidRPr="0075210F">
        <w:rPr>
          <w:rFonts w:asciiTheme="majorHAnsi" w:hAnsiTheme="majorHAnsi"/>
          <w:color w:val="auto"/>
          <w:sz w:val="22"/>
          <w:szCs w:val="22"/>
        </w:rPr>
        <w:t xml:space="preserve">The </w:t>
      </w:r>
      <w:r>
        <w:rPr>
          <w:rFonts w:asciiTheme="majorHAnsi" w:hAnsiTheme="majorHAnsi"/>
          <w:color w:val="auto"/>
          <w:sz w:val="22"/>
          <w:szCs w:val="22"/>
        </w:rPr>
        <w:t xml:space="preserve">limits of </w:t>
      </w:r>
      <w:r w:rsidRPr="0075210F">
        <w:rPr>
          <w:rFonts w:asciiTheme="majorHAnsi" w:hAnsiTheme="majorHAnsi"/>
          <w:color w:val="auto"/>
          <w:sz w:val="22"/>
          <w:szCs w:val="22"/>
        </w:rPr>
        <w:t xml:space="preserve">expert evidence </w:t>
      </w:r>
      <w:r>
        <w:rPr>
          <w:rFonts w:asciiTheme="majorHAnsi" w:hAnsiTheme="majorHAnsi"/>
          <w:color w:val="auto"/>
          <w:sz w:val="22"/>
          <w:szCs w:val="22"/>
        </w:rPr>
        <w:t>– must provide written opinion and testimony is limited to an</w:t>
      </w:r>
      <w:r w:rsidRPr="0075210F">
        <w:rPr>
          <w:rFonts w:asciiTheme="majorHAnsi" w:hAnsiTheme="majorHAnsi"/>
          <w:color w:val="auto"/>
          <w:sz w:val="22"/>
          <w:szCs w:val="22"/>
        </w:rPr>
        <w:t xml:space="preserve"> explanation of the technical terms in their report.</w:t>
      </w:r>
    </w:p>
    <w:p w:rsidR="0075210F" w:rsidRDefault="0075210F" w:rsidP="0075210F">
      <w:pPr>
        <w:pStyle w:val="Default"/>
        <w:jc w:val="both"/>
        <w:rPr>
          <w:rFonts w:asciiTheme="majorHAnsi" w:hAnsiTheme="majorHAnsi"/>
          <w:color w:val="auto"/>
          <w:sz w:val="22"/>
          <w:szCs w:val="22"/>
        </w:rPr>
      </w:pPr>
    </w:p>
    <w:p w:rsidR="0075210F" w:rsidRPr="0075210F" w:rsidRDefault="0075210F" w:rsidP="0075210F">
      <w:pPr>
        <w:pStyle w:val="Default"/>
        <w:jc w:val="both"/>
        <w:rPr>
          <w:rFonts w:asciiTheme="majorHAnsi" w:hAnsiTheme="majorHAnsi"/>
          <w:color w:val="auto"/>
          <w:sz w:val="22"/>
          <w:szCs w:val="22"/>
        </w:rPr>
      </w:pPr>
    </w:p>
    <w:p w:rsidR="0075210F" w:rsidRDefault="0075210F" w:rsidP="00514F80">
      <w:pPr>
        <w:pStyle w:val="Default"/>
        <w:numPr>
          <w:ilvl w:val="0"/>
          <w:numId w:val="4"/>
        </w:numPr>
        <w:jc w:val="both"/>
        <w:rPr>
          <w:rFonts w:asciiTheme="majorHAnsi" w:hAnsiTheme="majorHAnsi"/>
          <w:color w:val="FF0000"/>
          <w:sz w:val="22"/>
          <w:szCs w:val="22"/>
          <w:u w:val="single"/>
        </w:rPr>
      </w:pPr>
      <w:r>
        <w:rPr>
          <w:rFonts w:asciiTheme="majorHAnsi" w:hAnsiTheme="majorHAnsi"/>
          <w:color w:val="FF0000"/>
          <w:sz w:val="22"/>
          <w:szCs w:val="22"/>
          <w:u w:val="single"/>
        </w:rPr>
        <w:t>Cross Examination</w:t>
      </w:r>
    </w:p>
    <w:p w:rsidR="0075210F" w:rsidRDefault="0075210F" w:rsidP="0075210F">
      <w:pPr>
        <w:pStyle w:val="Default"/>
        <w:jc w:val="both"/>
        <w:rPr>
          <w:rFonts w:asciiTheme="majorHAnsi" w:hAnsiTheme="majorHAnsi"/>
          <w:color w:val="auto"/>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Cross Examination – this is the only opportunity we have to challenge the defendant’s case.</w:t>
      </w:r>
    </w:p>
    <w:p w:rsidR="0075210F" w:rsidRDefault="0075210F" w:rsidP="0075210F">
      <w:pPr>
        <w:pStyle w:val="Default"/>
        <w:ind w:left="360"/>
        <w:jc w:val="both"/>
        <w:rPr>
          <w:rFonts w:asciiTheme="majorHAnsi" w:hAnsiTheme="majorHAnsi"/>
          <w:color w:val="auto"/>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S</w:t>
      </w:r>
      <w:r w:rsidRPr="0075210F">
        <w:rPr>
          <w:rFonts w:asciiTheme="majorHAnsi" w:hAnsiTheme="majorHAnsi"/>
          <w:color w:val="auto"/>
          <w:sz w:val="22"/>
          <w:szCs w:val="22"/>
        </w:rPr>
        <w:t>cope of cross examination</w:t>
      </w:r>
      <w:r>
        <w:rPr>
          <w:rFonts w:asciiTheme="majorHAnsi" w:hAnsiTheme="majorHAnsi"/>
          <w:color w:val="auto"/>
          <w:sz w:val="22"/>
          <w:szCs w:val="22"/>
        </w:rPr>
        <w:t xml:space="preserve"> – how far is too far in cross examination and are their limits to the questions you can ask in cross examination.</w:t>
      </w:r>
    </w:p>
    <w:p w:rsidR="0075210F" w:rsidRDefault="0075210F" w:rsidP="0075210F">
      <w:pPr>
        <w:pStyle w:val="ListParagraph"/>
        <w:rPr>
          <w:rFonts w:asciiTheme="majorHAnsi" w:hAnsiTheme="majorHAnsi"/>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Style of questions – open ended versus closed questions.</w:t>
      </w:r>
    </w:p>
    <w:p w:rsidR="0075210F" w:rsidRDefault="0075210F" w:rsidP="0075210F">
      <w:pPr>
        <w:pStyle w:val="ListParagraph"/>
        <w:rPr>
          <w:rFonts w:asciiTheme="majorHAnsi" w:hAnsiTheme="majorHAnsi"/>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The rule – keep control of the witness.</w:t>
      </w:r>
    </w:p>
    <w:p w:rsidR="0075210F" w:rsidRDefault="0075210F" w:rsidP="0075210F">
      <w:pPr>
        <w:pStyle w:val="ListParagraph"/>
        <w:rPr>
          <w:rFonts w:asciiTheme="majorHAnsi" w:hAnsiTheme="majorHAnsi"/>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The sub rule – do not ask a question that you do not know the answer to.</w:t>
      </w:r>
    </w:p>
    <w:p w:rsidR="0075210F" w:rsidRDefault="0075210F" w:rsidP="0075210F">
      <w:pPr>
        <w:pStyle w:val="ListParagraph"/>
        <w:rPr>
          <w:rFonts w:asciiTheme="majorHAnsi" w:hAnsiTheme="majorHAnsi"/>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The sub rule – one fact per question.</w:t>
      </w:r>
    </w:p>
    <w:p w:rsidR="0075210F" w:rsidRDefault="0075210F" w:rsidP="0075210F">
      <w:pPr>
        <w:pStyle w:val="ListParagraph"/>
        <w:rPr>
          <w:rFonts w:asciiTheme="majorHAnsi" w:hAnsiTheme="majorHAnsi"/>
          <w:sz w:val="22"/>
          <w:szCs w:val="22"/>
        </w:rPr>
      </w:pPr>
    </w:p>
    <w:p w:rsidR="0075210F" w:rsidRDefault="0075210F" w:rsidP="0075210F">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 xml:space="preserve">Preparation </w:t>
      </w:r>
      <w:r w:rsidRPr="0075210F">
        <w:rPr>
          <w:rFonts w:asciiTheme="majorHAnsi" w:hAnsiTheme="majorHAnsi"/>
          <w:color w:val="auto"/>
          <w:sz w:val="22"/>
          <w:szCs w:val="22"/>
        </w:rPr>
        <w:t xml:space="preserve">for cross examination, and fruitful areas of cross examination with respect to lay witnesses, liability witnesses and experts. </w:t>
      </w:r>
    </w:p>
    <w:p w:rsidR="0075210F" w:rsidRDefault="0075210F" w:rsidP="0075210F">
      <w:pPr>
        <w:pStyle w:val="Default"/>
        <w:ind w:left="360"/>
        <w:jc w:val="both"/>
        <w:rPr>
          <w:rFonts w:asciiTheme="majorHAnsi" w:hAnsiTheme="majorHAnsi"/>
          <w:color w:val="auto"/>
          <w:sz w:val="22"/>
          <w:szCs w:val="22"/>
        </w:rPr>
      </w:pPr>
    </w:p>
    <w:p w:rsidR="0075210F" w:rsidRPr="00B255D3" w:rsidRDefault="0075210F" w:rsidP="00B255D3">
      <w:pPr>
        <w:pStyle w:val="Default"/>
        <w:numPr>
          <w:ilvl w:val="0"/>
          <w:numId w:val="5"/>
        </w:numPr>
        <w:jc w:val="both"/>
        <w:rPr>
          <w:rFonts w:asciiTheme="majorHAnsi" w:hAnsiTheme="majorHAnsi"/>
          <w:color w:val="auto"/>
          <w:sz w:val="22"/>
          <w:szCs w:val="22"/>
        </w:rPr>
      </w:pPr>
      <w:r w:rsidRPr="00B255D3">
        <w:rPr>
          <w:rFonts w:asciiTheme="majorHAnsi" w:hAnsiTheme="majorHAnsi"/>
          <w:color w:val="auto"/>
          <w:sz w:val="22"/>
          <w:szCs w:val="22"/>
        </w:rPr>
        <w:t>We will use a case example (Fabretti) to explore the cross examination of a defence psychiatrist.</w:t>
      </w:r>
    </w:p>
    <w:p w:rsidR="0075210F" w:rsidRPr="0075210F" w:rsidRDefault="0075210F" w:rsidP="00B255D3">
      <w:pPr>
        <w:pStyle w:val="Default"/>
        <w:jc w:val="both"/>
        <w:rPr>
          <w:rFonts w:asciiTheme="majorHAnsi" w:hAnsiTheme="majorHAnsi"/>
          <w:color w:val="auto"/>
          <w:sz w:val="22"/>
          <w:szCs w:val="22"/>
        </w:rPr>
      </w:pPr>
    </w:p>
    <w:p w:rsidR="0075210F" w:rsidRPr="0075210F" w:rsidRDefault="0075210F" w:rsidP="0075210F">
      <w:pPr>
        <w:pStyle w:val="Default"/>
        <w:jc w:val="both"/>
        <w:rPr>
          <w:rFonts w:asciiTheme="majorHAnsi" w:hAnsiTheme="majorHAnsi"/>
          <w:color w:val="auto"/>
          <w:sz w:val="22"/>
          <w:szCs w:val="22"/>
        </w:rPr>
      </w:pPr>
    </w:p>
    <w:p w:rsidR="0075210F" w:rsidRPr="002D330E" w:rsidRDefault="0075210F" w:rsidP="00514F80">
      <w:pPr>
        <w:pStyle w:val="Default"/>
        <w:numPr>
          <w:ilvl w:val="0"/>
          <w:numId w:val="4"/>
        </w:numPr>
        <w:jc w:val="both"/>
        <w:rPr>
          <w:rFonts w:asciiTheme="majorHAnsi" w:hAnsiTheme="majorHAnsi"/>
          <w:color w:val="FF0000"/>
          <w:sz w:val="22"/>
          <w:szCs w:val="22"/>
          <w:u w:val="single"/>
        </w:rPr>
      </w:pPr>
      <w:r>
        <w:rPr>
          <w:rFonts w:asciiTheme="majorHAnsi" w:hAnsiTheme="majorHAnsi"/>
          <w:color w:val="FF0000"/>
          <w:sz w:val="22"/>
          <w:szCs w:val="22"/>
          <w:u w:val="single"/>
        </w:rPr>
        <w:t>Reply</w:t>
      </w:r>
    </w:p>
    <w:p w:rsidR="000A349A" w:rsidRDefault="000A349A" w:rsidP="000A349A">
      <w:pPr>
        <w:pStyle w:val="ListParagraph"/>
        <w:rPr>
          <w:rFonts w:asciiTheme="majorHAnsi" w:hAnsiTheme="majorHAnsi"/>
          <w:sz w:val="22"/>
          <w:szCs w:val="22"/>
        </w:rPr>
      </w:pPr>
    </w:p>
    <w:p w:rsidR="00401D3E" w:rsidRDefault="00401D3E" w:rsidP="00401D3E">
      <w:pPr>
        <w:pStyle w:val="Default"/>
        <w:ind w:left="360"/>
        <w:jc w:val="both"/>
        <w:rPr>
          <w:rFonts w:asciiTheme="majorHAnsi" w:hAnsiTheme="majorHAnsi"/>
          <w:color w:val="auto"/>
          <w:sz w:val="22"/>
          <w:szCs w:val="22"/>
        </w:rPr>
      </w:pPr>
    </w:p>
    <w:p w:rsidR="00B255D3" w:rsidRDefault="00401D3E" w:rsidP="00B255D3">
      <w:pPr>
        <w:pStyle w:val="Default"/>
        <w:numPr>
          <w:ilvl w:val="0"/>
          <w:numId w:val="5"/>
        </w:numPr>
        <w:jc w:val="both"/>
        <w:rPr>
          <w:rFonts w:asciiTheme="majorHAnsi" w:hAnsiTheme="majorHAnsi"/>
          <w:color w:val="auto"/>
          <w:sz w:val="22"/>
          <w:szCs w:val="22"/>
        </w:rPr>
      </w:pPr>
      <w:r>
        <w:rPr>
          <w:rFonts w:asciiTheme="majorHAnsi" w:hAnsiTheme="majorHAnsi"/>
          <w:color w:val="auto"/>
          <w:sz w:val="22"/>
          <w:szCs w:val="22"/>
        </w:rPr>
        <w:t>Reply – very limited scope to prevent splitting of case</w:t>
      </w:r>
    </w:p>
    <w:p w:rsidR="00B255D3" w:rsidRDefault="00B255D3" w:rsidP="00B255D3">
      <w:pPr>
        <w:pStyle w:val="Default"/>
        <w:ind w:left="360"/>
        <w:jc w:val="both"/>
        <w:rPr>
          <w:rFonts w:asciiTheme="majorHAnsi" w:hAnsiTheme="majorHAnsi"/>
          <w:color w:val="auto"/>
          <w:sz w:val="22"/>
          <w:szCs w:val="22"/>
        </w:rPr>
      </w:pPr>
    </w:p>
    <w:p w:rsidR="00401D3E" w:rsidRPr="00B255D3" w:rsidRDefault="00401D3E" w:rsidP="00B255D3">
      <w:pPr>
        <w:pStyle w:val="Default"/>
        <w:numPr>
          <w:ilvl w:val="0"/>
          <w:numId w:val="5"/>
        </w:numPr>
        <w:jc w:val="both"/>
        <w:rPr>
          <w:rFonts w:asciiTheme="majorHAnsi" w:hAnsiTheme="majorHAnsi"/>
          <w:color w:val="auto"/>
          <w:sz w:val="22"/>
          <w:szCs w:val="22"/>
        </w:rPr>
      </w:pPr>
      <w:r w:rsidRPr="00B255D3">
        <w:rPr>
          <w:rFonts w:asciiTheme="majorHAnsi" w:hAnsiTheme="majorHAnsi"/>
          <w:color w:val="auto"/>
          <w:sz w:val="22"/>
          <w:szCs w:val="22"/>
        </w:rPr>
        <w:t>We will review the limits of reply evidence and the rule against splitting the plaintiff’s case.  Reply evidence is only meant to address new issues that are raised in cross examination and cannot deal with issues that we previously covered in direct or entirely new issues that were not covered in cross.</w:t>
      </w:r>
    </w:p>
    <w:p w:rsidR="000A349A" w:rsidRDefault="000A349A" w:rsidP="000A349A">
      <w:pPr>
        <w:pStyle w:val="Default"/>
        <w:jc w:val="both"/>
        <w:rPr>
          <w:rFonts w:asciiTheme="majorHAnsi" w:hAnsiTheme="majorHAnsi"/>
          <w:color w:val="auto"/>
          <w:sz w:val="22"/>
          <w:szCs w:val="22"/>
        </w:rPr>
      </w:pPr>
    </w:p>
    <w:p w:rsidR="00472235" w:rsidRPr="00472235" w:rsidRDefault="00472235" w:rsidP="00472235">
      <w:pPr>
        <w:pStyle w:val="Default"/>
        <w:jc w:val="both"/>
        <w:rPr>
          <w:rFonts w:asciiTheme="majorHAnsi" w:hAnsiTheme="majorHAnsi"/>
        </w:rPr>
      </w:pPr>
    </w:p>
    <w:p w:rsidR="000A349A" w:rsidRPr="00021BE2" w:rsidRDefault="000A349A" w:rsidP="00021BE2">
      <w:pPr>
        <w:pStyle w:val="Default"/>
        <w:numPr>
          <w:ilvl w:val="1"/>
          <w:numId w:val="1"/>
        </w:numPr>
        <w:jc w:val="both"/>
        <w:rPr>
          <w:rFonts w:asciiTheme="majorHAnsi" w:hAnsiTheme="majorHAnsi"/>
          <w:b/>
        </w:rPr>
      </w:pPr>
      <w:r>
        <w:rPr>
          <w:rFonts w:asciiTheme="majorHAnsi" w:hAnsiTheme="majorHAnsi"/>
          <w:b/>
        </w:rPr>
        <w:t xml:space="preserve"> </w:t>
      </w:r>
      <w:r w:rsidR="00B255D3">
        <w:rPr>
          <w:rFonts w:asciiTheme="majorHAnsi" w:hAnsiTheme="majorHAnsi"/>
          <w:b/>
        </w:rPr>
        <w:t>Openings – see the Mike Slater article</w:t>
      </w:r>
    </w:p>
    <w:p w:rsidR="00B255D3" w:rsidRDefault="00B255D3" w:rsidP="00B255D3">
      <w:pPr>
        <w:pStyle w:val="Default"/>
        <w:jc w:val="both"/>
        <w:rPr>
          <w:rFonts w:asciiTheme="majorHAnsi" w:hAnsiTheme="majorHAnsi"/>
        </w:rPr>
      </w:pPr>
    </w:p>
    <w:p w:rsidR="00B255D3" w:rsidRPr="00B255D3" w:rsidRDefault="00B255D3" w:rsidP="00B255D3">
      <w:pPr>
        <w:pStyle w:val="Default"/>
        <w:numPr>
          <w:ilvl w:val="0"/>
          <w:numId w:val="20"/>
        </w:numPr>
        <w:jc w:val="both"/>
        <w:rPr>
          <w:rFonts w:asciiTheme="majorHAnsi" w:hAnsiTheme="majorHAnsi"/>
        </w:rPr>
      </w:pPr>
      <w:r>
        <w:rPr>
          <w:rFonts w:asciiTheme="majorHAnsi" w:hAnsiTheme="majorHAnsi"/>
        </w:rPr>
        <w:lastRenderedPageBreak/>
        <w:t xml:space="preserve">Opening Statements - </w:t>
      </w:r>
      <w:r w:rsidRPr="00B255D3">
        <w:rPr>
          <w:rFonts w:asciiTheme="majorHAnsi" w:hAnsiTheme="majorHAnsi"/>
        </w:rPr>
        <w:t>Purpose</w:t>
      </w:r>
    </w:p>
    <w:p w:rsidR="00B255D3" w:rsidRPr="00B255D3" w:rsidRDefault="00B255D3" w:rsidP="00B255D3">
      <w:pPr>
        <w:pStyle w:val="Default"/>
        <w:numPr>
          <w:ilvl w:val="0"/>
          <w:numId w:val="21"/>
        </w:numPr>
        <w:jc w:val="both"/>
        <w:rPr>
          <w:rFonts w:asciiTheme="majorHAnsi" w:hAnsiTheme="majorHAnsi"/>
        </w:rPr>
      </w:pPr>
      <w:r w:rsidRPr="00B255D3">
        <w:rPr>
          <w:rFonts w:asciiTheme="majorHAnsi" w:hAnsiTheme="majorHAnsi"/>
        </w:rPr>
        <w:t>Jurors will not be persuaded which way to decide a case in an opening. They will develop a belief about what  the case is about</w:t>
      </w:r>
    </w:p>
    <w:p w:rsidR="00B255D3" w:rsidRPr="00B255D3" w:rsidRDefault="00B255D3" w:rsidP="00B255D3">
      <w:pPr>
        <w:pStyle w:val="Default"/>
        <w:numPr>
          <w:ilvl w:val="0"/>
          <w:numId w:val="21"/>
        </w:numPr>
        <w:jc w:val="both"/>
        <w:rPr>
          <w:rFonts w:asciiTheme="majorHAnsi" w:hAnsiTheme="majorHAnsi"/>
        </w:rPr>
      </w:pPr>
      <w:r w:rsidRPr="00B255D3">
        <w:rPr>
          <w:rFonts w:asciiTheme="majorHAnsi" w:hAnsiTheme="majorHAnsi"/>
        </w:rPr>
        <w:t>Give the jury an idea of what will be given in evidence</w:t>
      </w:r>
    </w:p>
    <w:p w:rsidR="00B255D3" w:rsidRPr="00B255D3" w:rsidRDefault="00B255D3" w:rsidP="00B255D3">
      <w:pPr>
        <w:pStyle w:val="Default"/>
        <w:numPr>
          <w:ilvl w:val="0"/>
          <w:numId w:val="21"/>
        </w:numPr>
        <w:jc w:val="both"/>
        <w:rPr>
          <w:rFonts w:asciiTheme="majorHAnsi" w:hAnsiTheme="majorHAnsi"/>
        </w:rPr>
      </w:pPr>
      <w:r w:rsidRPr="00B255D3">
        <w:rPr>
          <w:rFonts w:asciiTheme="majorHAnsi" w:hAnsiTheme="majorHAnsi"/>
        </w:rPr>
        <w:t>Frame legal issues</w:t>
      </w:r>
    </w:p>
    <w:p w:rsidR="00B255D3" w:rsidRPr="00B255D3" w:rsidRDefault="00B255D3" w:rsidP="00B255D3">
      <w:pPr>
        <w:pStyle w:val="Default"/>
        <w:jc w:val="both"/>
        <w:rPr>
          <w:rFonts w:asciiTheme="majorHAnsi" w:hAnsiTheme="majorHAnsi"/>
        </w:rPr>
      </w:pPr>
    </w:p>
    <w:p w:rsidR="00B255D3" w:rsidRPr="00B255D3" w:rsidRDefault="00B255D3" w:rsidP="00B255D3">
      <w:pPr>
        <w:pStyle w:val="Default"/>
        <w:numPr>
          <w:ilvl w:val="0"/>
          <w:numId w:val="20"/>
        </w:numPr>
        <w:jc w:val="both"/>
        <w:rPr>
          <w:rFonts w:asciiTheme="majorHAnsi" w:hAnsiTheme="majorHAnsi"/>
        </w:rPr>
      </w:pPr>
      <w:r>
        <w:rPr>
          <w:rFonts w:asciiTheme="majorHAnsi" w:hAnsiTheme="majorHAnsi"/>
        </w:rPr>
        <w:t>Avoid</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Giving personal opinions</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Discussing any evidence other than what will come from the party’s own witness (or which the court takes judicial notice).</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Irrelevant facts</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Prejudicial remarks, sarcasm, derision, argument</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Appeal to the sympathy of the jury</w:t>
      </w:r>
    </w:p>
    <w:p w:rsidR="00B255D3" w:rsidRPr="00B255D3" w:rsidRDefault="00B255D3" w:rsidP="00B255D3">
      <w:pPr>
        <w:pStyle w:val="Default"/>
        <w:jc w:val="both"/>
        <w:rPr>
          <w:rFonts w:asciiTheme="majorHAnsi" w:hAnsiTheme="majorHAnsi"/>
        </w:rPr>
      </w:pPr>
    </w:p>
    <w:p w:rsidR="00B255D3" w:rsidRPr="00B255D3" w:rsidRDefault="00B255D3" w:rsidP="00B255D3">
      <w:pPr>
        <w:pStyle w:val="Default"/>
        <w:numPr>
          <w:ilvl w:val="0"/>
          <w:numId w:val="20"/>
        </w:numPr>
        <w:jc w:val="both"/>
        <w:rPr>
          <w:rFonts w:asciiTheme="majorHAnsi" w:hAnsiTheme="majorHAnsi"/>
        </w:rPr>
      </w:pPr>
      <w:r w:rsidRPr="00B255D3">
        <w:rPr>
          <w:rFonts w:asciiTheme="majorHAnsi" w:hAnsiTheme="majorHAnsi"/>
        </w:rPr>
        <w:t>David Ball Approach</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Liability</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Rules of the Road: What are the rules and how did the defendant break the rules</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EXAMPLES</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Focus on the defendant’s conduct</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Damages</w:t>
      </w:r>
    </w:p>
    <w:p w:rsidR="00B255D3" w:rsidRPr="00B255D3" w:rsidRDefault="00B255D3" w:rsidP="00B255D3">
      <w:pPr>
        <w:pStyle w:val="Default"/>
        <w:numPr>
          <w:ilvl w:val="1"/>
          <w:numId w:val="20"/>
        </w:numPr>
        <w:ind w:left="709"/>
        <w:jc w:val="both"/>
        <w:rPr>
          <w:rFonts w:asciiTheme="majorHAnsi" w:hAnsiTheme="majorHAnsi"/>
        </w:rPr>
      </w:pPr>
      <w:r w:rsidRPr="00B255D3">
        <w:rPr>
          <w:rFonts w:asciiTheme="majorHAnsi" w:hAnsiTheme="majorHAnsi"/>
        </w:rPr>
        <w:t>Describe the case in terms of harms and losses</w:t>
      </w:r>
    </w:p>
    <w:p w:rsidR="00B255D3" w:rsidRPr="00B255D3" w:rsidRDefault="00B255D3" w:rsidP="00B255D3">
      <w:pPr>
        <w:pStyle w:val="Default"/>
        <w:jc w:val="both"/>
        <w:rPr>
          <w:rFonts w:asciiTheme="majorHAnsi" w:hAnsiTheme="majorHAnsi"/>
        </w:rPr>
      </w:pPr>
    </w:p>
    <w:p w:rsidR="00B255D3" w:rsidRPr="00B255D3" w:rsidRDefault="00B255D3" w:rsidP="00B255D3">
      <w:pPr>
        <w:pStyle w:val="Default"/>
        <w:numPr>
          <w:ilvl w:val="0"/>
          <w:numId w:val="22"/>
        </w:numPr>
        <w:jc w:val="both"/>
        <w:rPr>
          <w:rFonts w:asciiTheme="majorHAnsi" w:hAnsiTheme="majorHAnsi"/>
        </w:rPr>
      </w:pPr>
      <w:r w:rsidRPr="00B255D3">
        <w:rPr>
          <w:rFonts w:asciiTheme="majorHAnsi" w:hAnsiTheme="majorHAnsi"/>
          <w:i/>
        </w:rPr>
        <w:t>Brophy v. Hutchinson</w:t>
      </w:r>
      <w:r>
        <w:rPr>
          <w:rFonts w:asciiTheme="majorHAnsi" w:hAnsiTheme="majorHAnsi"/>
        </w:rPr>
        <w:t xml:space="preserve"> </w:t>
      </w:r>
      <w:r w:rsidRPr="00B255D3">
        <w:rPr>
          <w:rFonts w:asciiTheme="majorHAnsi" w:hAnsiTheme="majorHAnsi"/>
        </w:rPr>
        <w:t>(2003), 9 B.C.L.R. (4th) 46, 27 C.P.C. (5th)14,2003 BCCA 21:</w:t>
      </w:r>
    </w:p>
    <w:p w:rsidR="00B255D3" w:rsidRPr="00B255D3" w:rsidRDefault="00B255D3" w:rsidP="00B255D3">
      <w:pPr>
        <w:pStyle w:val="Default"/>
        <w:jc w:val="both"/>
        <w:rPr>
          <w:rFonts w:asciiTheme="majorHAnsi" w:hAnsiTheme="majorHAnsi"/>
        </w:rPr>
      </w:pPr>
    </w:p>
    <w:p w:rsidR="00B255D3" w:rsidRPr="00B255D3" w:rsidRDefault="00B255D3" w:rsidP="00B255D3">
      <w:pPr>
        <w:pStyle w:val="Default"/>
        <w:ind w:left="360"/>
        <w:jc w:val="both"/>
        <w:rPr>
          <w:rFonts w:asciiTheme="majorHAnsi" w:hAnsiTheme="majorHAnsi"/>
        </w:rPr>
      </w:pPr>
      <w:r w:rsidRPr="00B255D3">
        <w:rPr>
          <w:rFonts w:asciiTheme="majorHAnsi" w:hAnsiTheme="majorHAnsi"/>
        </w:rPr>
        <w:t xml:space="preserve">[24] The opening’s purpose is to outline the case the party bearing the onus of proof (usually the plaintiff) intends to present. Counsel’s goal in opening is, or should be, to assist the jury in understanding what his or her witnesses will say, and to present a sort of “overview” of the case so that the jury will be able to relate various parts of the evidence to be presented to the whole picture counsel will attempt to present. </w:t>
      </w:r>
    </w:p>
    <w:p w:rsidR="00B255D3" w:rsidRPr="00B255D3" w:rsidRDefault="00B255D3" w:rsidP="00B255D3">
      <w:pPr>
        <w:pStyle w:val="Default"/>
        <w:ind w:left="360"/>
        <w:jc w:val="both"/>
        <w:rPr>
          <w:rFonts w:asciiTheme="majorHAnsi" w:hAnsiTheme="majorHAnsi"/>
        </w:rPr>
      </w:pPr>
      <w:r w:rsidRPr="00B255D3">
        <w:rPr>
          <w:rFonts w:asciiTheme="majorHAnsi" w:hAnsiTheme="majorHAnsi"/>
        </w:rPr>
        <w:t>. . .</w:t>
      </w:r>
    </w:p>
    <w:p w:rsidR="00B255D3" w:rsidRPr="00B255D3" w:rsidRDefault="00B255D3" w:rsidP="00B255D3">
      <w:pPr>
        <w:pStyle w:val="Default"/>
        <w:ind w:left="360"/>
        <w:jc w:val="both"/>
        <w:rPr>
          <w:rFonts w:asciiTheme="majorHAnsi" w:hAnsiTheme="majorHAnsi"/>
        </w:rPr>
      </w:pPr>
    </w:p>
    <w:p w:rsidR="000A349A" w:rsidRDefault="00B255D3" w:rsidP="00B255D3">
      <w:pPr>
        <w:pStyle w:val="Default"/>
        <w:ind w:left="360"/>
        <w:jc w:val="both"/>
        <w:rPr>
          <w:rFonts w:asciiTheme="majorHAnsi" w:hAnsiTheme="majorHAnsi"/>
        </w:rPr>
      </w:pPr>
      <w:r w:rsidRPr="00B255D3">
        <w:rPr>
          <w:rFonts w:asciiTheme="majorHAnsi" w:hAnsiTheme="majorHAnsi"/>
        </w:rPr>
        <w:t>[41] In an opening statement, counsel may not give his own personal opinion of the case. Before any evidence is given he may not mention facts which require proof, which cannot be proven by evidence from his own witnesses, or which he expects to elicit only on cross-examination. He may not mention matters that are irrelevant to the case. He must not make prejudicial remarks tending to arouse hostility, or statements that appeal to the jurors’ emotions, rather than their reason. It is improper to comment directly on the credibility of witnesses. The opening is not argument, so the use of rhetoric, sarcasm, derision and the like is impermissible.</w:t>
      </w:r>
    </w:p>
    <w:p w:rsidR="00B255D3" w:rsidRDefault="00B255D3" w:rsidP="00B255D3">
      <w:pPr>
        <w:pStyle w:val="Default"/>
        <w:ind w:left="360"/>
        <w:jc w:val="both"/>
        <w:rPr>
          <w:rFonts w:asciiTheme="majorHAnsi" w:hAnsiTheme="majorHAnsi"/>
          <w:b/>
        </w:rPr>
      </w:pPr>
    </w:p>
    <w:p w:rsidR="000A349A" w:rsidRDefault="000A349A" w:rsidP="00472235">
      <w:pPr>
        <w:pStyle w:val="Default"/>
        <w:numPr>
          <w:ilvl w:val="1"/>
          <w:numId w:val="1"/>
        </w:numPr>
        <w:jc w:val="both"/>
        <w:rPr>
          <w:rFonts w:asciiTheme="majorHAnsi" w:hAnsiTheme="majorHAnsi"/>
          <w:b/>
        </w:rPr>
      </w:pPr>
      <w:r>
        <w:rPr>
          <w:rFonts w:asciiTheme="majorHAnsi" w:hAnsiTheme="majorHAnsi"/>
          <w:b/>
        </w:rPr>
        <w:t xml:space="preserve"> </w:t>
      </w:r>
      <w:r w:rsidR="00B255D3">
        <w:rPr>
          <w:rFonts w:asciiTheme="majorHAnsi" w:hAnsiTheme="majorHAnsi"/>
          <w:b/>
        </w:rPr>
        <w:t>Closings</w:t>
      </w:r>
    </w:p>
    <w:p w:rsidR="000A349A" w:rsidRDefault="000A349A" w:rsidP="000A349A">
      <w:pPr>
        <w:pStyle w:val="Default"/>
        <w:jc w:val="both"/>
        <w:rPr>
          <w:rFonts w:asciiTheme="majorHAnsi" w:hAnsiTheme="majorHAnsi"/>
          <w:b/>
        </w:rPr>
      </w:pPr>
    </w:p>
    <w:p w:rsidR="00B255D3" w:rsidRPr="00B255D3" w:rsidRDefault="00B255D3" w:rsidP="00B255D3">
      <w:pPr>
        <w:pStyle w:val="ListParagraph"/>
        <w:numPr>
          <w:ilvl w:val="0"/>
          <w:numId w:val="22"/>
        </w:numPr>
        <w:rPr>
          <w:rFonts w:eastAsia="Times New Roman" w:cs="Courier New"/>
        </w:rPr>
      </w:pPr>
      <w:r w:rsidRPr="00B255D3">
        <w:rPr>
          <w:rFonts w:eastAsia="Times New Roman" w:cs="Courier New"/>
        </w:rPr>
        <w:t>Generally counsel is offered greater latitude in closing argument than in an opening statement.</w:t>
      </w:r>
    </w:p>
    <w:p w:rsidR="004147DE" w:rsidRPr="004147DE" w:rsidRDefault="004147DE" w:rsidP="004147DE">
      <w:pPr>
        <w:pStyle w:val="ListParagraph"/>
        <w:ind w:left="360"/>
        <w:rPr>
          <w:rFonts w:eastAsia="Times New Roman" w:cs="Courier New"/>
        </w:rPr>
      </w:pPr>
    </w:p>
    <w:p w:rsidR="004147DE" w:rsidRPr="004147DE" w:rsidRDefault="004147DE" w:rsidP="004147DE">
      <w:pPr>
        <w:pStyle w:val="ListParagraph"/>
        <w:numPr>
          <w:ilvl w:val="0"/>
          <w:numId w:val="22"/>
        </w:numPr>
        <w:rPr>
          <w:rFonts w:eastAsia="Times New Roman" w:cs="Courier New"/>
        </w:rPr>
      </w:pPr>
      <w:proofErr w:type="spellStart"/>
      <w:r w:rsidRPr="004147DE">
        <w:rPr>
          <w:rFonts w:eastAsia="Times New Roman" w:cs="Courier New"/>
          <w:i/>
        </w:rPr>
        <w:lastRenderedPageBreak/>
        <w:t>Cahoon</w:t>
      </w:r>
      <w:proofErr w:type="spellEnd"/>
      <w:r w:rsidRPr="004147DE">
        <w:rPr>
          <w:rFonts w:eastAsia="Times New Roman" w:cs="Courier New"/>
          <w:i/>
        </w:rPr>
        <w:t xml:space="preserve"> v. </w:t>
      </w:r>
      <w:proofErr w:type="spellStart"/>
      <w:r w:rsidRPr="004147DE">
        <w:rPr>
          <w:rFonts w:eastAsia="Times New Roman" w:cs="Courier New"/>
          <w:i/>
        </w:rPr>
        <w:t>Brideaux</w:t>
      </w:r>
      <w:proofErr w:type="spellEnd"/>
      <w:r w:rsidRPr="004147DE">
        <w:rPr>
          <w:rFonts w:eastAsia="Times New Roman" w:cs="Courier New"/>
        </w:rPr>
        <w:t>, 2010 BCCA 228:</w:t>
      </w:r>
    </w:p>
    <w:p w:rsidR="004147DE" w:rsidRPr="004147DE" w:rsidRDefault="004147DE" w:rsidP="004147DE">
      <w:pPr>
        <w:pStyle w:val="ListParagraph"/>
        <w:ind w:left="360"/>
        <w:rPr>
          <w:rFonts w:eastAsia="Times New Roman" w:cs="Courier New"/>
        </w:rPr>
      </w:pPr>
    </w:p>
    <w:p w:rsidR="004147DE" w:rsidRPr="004147DE" w:rsidRDefault="004147DE" w:rsidP="004147DE">
      <w:pPr>
        <w:pStyle w:val="ListParagraph"/>
        <w:ind w:left="360" w:right="720"/>
        <w:jc w:val="both"/>
        <w:rPr>
          <w:rFonts w:eastAsia="Times New Roman" w:cs="Courier New"/>
        </w:rPr>
      </w:pPr>
      <w:r w:rsidRPr="004147DE">
        <w:rPr>
          <w:rFonts w:eastAsia="Times New Roman" w:cs="Courier New"/>
        </w:rPr>
        <w:t xml:space="preserve">In contrast to an opening statement, which should be purely informational, a closing jury submission is argument (see Brophy, para. 41) and the object of argument is persuasion. Thus, counsel should state her client’s positions as forcefully as the evidence reasonably permits and without fear of offending the sensibilities of witnesses and other parties. Drama and pathos are permissible, though their use may be risky before modern sophisticated juries who may resent theatrical attempts to divert them from a reasoned analysis. Competent counsel will marshal the evidence in as </w:t>
      </w:r>
      <w:proofErr w:type="spellStart"/>
      <w:r w:rsidRPr="004147DE">
        <w:rPr>
          <w:rFonts w:eastAsia="Times New Roman" w:cs="Courier New"/>
        </w:rPr>
        <w:t>favourable</w:t>
      </w:r>
      <w:proofErr w:type="spellEnd"/>
      <w:r w:rsidRPr="004147DE">
        <w:rPr>
          <w:rFonts w:eastAsia="Times New Roman" w:cs="Courier New"/>
        </w:rPr>
        <w:t xml:space="preserve"> a light as possible for her client, analyze the evidence, relate the evidence to the law, and suggest inferences while leaving it to the jury to draw the desired inferences. She will not make irrelevant and prejudicial appeals designed to provoke hostility to or prejudice the jury against her opponent</w:t>
      </w:r>
    </w:p>
    <w:p w:rsidR="000A349A" w:rsidRDefault="000A349A"/>
    <w:p w:rsidR="004147DE" w:rsidRPr="004147DE" w:rsidRDefault="004147DE" w:rsidP="004147DE">
      <w:pPr>
        <w:pStyle w:val="ListParagraph"/>
        <w:numPr>
          <w:ilvl w:val="0"/>
          <w:numId w:val="22"/>
        </w:numPr>
        <w:rPr>
          <w:rFonts w:eastAsia="Times New Roman" w:cs="Courier New"/>
          <w:i/>
        </w:rPr>
      </w:pPr>
      <w:r w:rsidRPr="004147DE">
        <w:rPr>
          <w:rFonts w:eastAsia="Times New Roman" w:cs="Courier New"/>
          <w:i/>
        </w:rPr>
        <w:t>Walker v. Doe</w:t>
      </w:r>
    </w:p>
    <w:p w:rsidR="004147DE" w:rsidRPr="000F537D" w:rsidRDefault="004147DE" w:rsidP="004147DE">
      <w:pPr>
        <w:rPr>
          <w:rFonts w:eastAsia="Times New Roman" w:cs="Courier New"/>
        </w:rPr>
      </w:pPr>
    </w:p>
    <w:p w:rsidR="004147DE" w:rsidRPr="004147DE" w:rsidRDefault="004147DE" w:rsidP="004147DE">
      <w:pPr>
        <w:pStyle w:val="ListParagraph"/>
        <w:numPr>
          <w:ilvl w:val="0"/>
          <w:numId w:val="28"/>
        </w:numPr>
        <w:rPr>
          <w:rFonts w:eastAsia="Times New Roman" w:cs="Courier New"/>
        </w:rPr>
      </w:pPr>
      <w:r w:rsidRPr="004147DE">
        <w:rPr>
          <w:rFonts w:eastAsia="Times New Roman" w:cs="Courier New"/>
        </w:rPr>
        <w:t xml:space="preserve">Attack on opposing counsel - Cannot be justified even if opposing counsel attempts to paint a party in a harsh light or as a retaliatory measure for other conduct by opposing counsel. </w:t>
      </w:r>
    </w:p>
    <w:p w:rsidR="004147DE" w:rsidRDefault="004147DE" w:rsidP="004147DE">
      <w:pPr>
        <w:rPr>
          <w:rFonts w:eastAsia="Times New Roman" w:cs="Courier New"/>
        </w:rPr>
      </w:pPr>
    </w:p>
    <w:p w:rsidR="004147DE" w:rsidRPr="004147DE" w:rsidRDefault="004147DE" w:rsidP="004147DE">
      <w:pPr>
        <w:pStyle w:val="ListParagraph"/>
        <w:numPr>
          <w:ilvl w:val="0"/>
          <w:numId w:val="28"/>
        </w:numPr>
        <w:rPr>
          <w:rFonts w:eastAsia="Times New Roman" w:cs="Courier New"/>
        </w:rPr>
      </w:pPr>
      <w:r w:rsidRPr="004147DE">
        <w:rPr>
          <w:rFonts w:eastAsia="Times New Roman" w:cs="Courier New"/>
        </w:rPr>
        <w:t>Counsel cannot misrepresent the issues or the position taken by another party. At paragraph 36:</w:t>
      </w:r>
    </w:p>
    <w:p w:rsidR="004147DE" w:rsidRDefault="004147DE" w:rsidP="004147DE">
      <w:pPr>
        <w:rPr>
          <w:rFonts w:eastAsia="Times New Roman" w:cs="Courier New"/>
        </w:rPr>
      </w:pPr>
    </w:p>
    <w:p w:rsidR="004147DE" w:rsidRPr="004147DE" w:rsidRDefault="004147DE" w:rsidP="004147DE">
      <w:pPr>
        <w:pStyle w:val="ListParagraph"/>
        <w:numPr>
          <w:ilvl w:val="0"/>
          <w:numId w:val="28"/>
        </w:numPr>
        <w:rPr>
          <w:rFonts w:eastAsia="Times New Roman" w:cs="Courier New"/>
        </w:rPr>
      </w:pPr>
      <w:r w:rsidRPr="004147DE">
        <w:rPr>
          <w:rFonts w:eastAsia="Times New Roman" w:cs="Courier New"/>
        </w:rPr>
        <w:t>Mischaracterization of issues before the jury</w:t>
      </w:r>
    </w:p>
    <w:p w:rsidR="004147DE" w:rsidRDefault="004147DE" w:rsidP="004147DE">
      <w:pPr>
        <w:pStyle w:val="ListParagraph"/>
        <w:ind w:left="2160"/>
        <w:rPr>
          <w:rFonts w:eastAsia="Times New Roman" w:cs="Courier New"/>
        </w:rPr>
      </w:pPr>
    </w:p>
    <w:p w:rsidR="004147DE" w:rsidRPr="00204B2D" w:rsidRDefault="004147DE" w:rsidP="004147DE">
      <w:pPr>
        <w:pStyle w:val="ListParagraph"/>
        <w:numPr>
          <w:ilvl w:val="0"/>
          <w:numId w:val="24"/>
        </w:numPr>
        <w:rPr>
          <w:rFonts w:eastAsia="Times New Roman" w:cs="Courier New"/>
          <w:b/>
          <w:u w:val="single"/>
        </w:rPr>
      </w:pPr>
      <w:r>
        <w:rPr>
          <w:rFonts w:eastAsia="Times New Roman" w:cs="Courier New"/>
        </w:rPr>
        <w:t>Counsel should not accuse an expert of dishonesty unless it is put to the expert in cross examination</w:t>
      </w:r>
    </w:p>
    <w:sectPr w:rsidR="004147DE" w:rsidRPr="00204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51850"/>
    <w:multiLevelType w:val="hybridMultilevel"/>
    <w:tmpl w:val="B31CE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FD03F6"/>
    <w:multiLevelType w:val="hybridMultilevel"/>
    <w:tmpl w:val="2850CE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07DC3F36"/>
    <w:multiLevelType w:val="hybridMultilevel"/>
    <w:tmpl w:val="D1A2CDAC"/>
    <w:lvl w:ilvl="0" w:tplc="10090001">
      <w:start w:val="1"/>
      <w:numFmt w:val="bullet"/>
      <w:lvlText w:val=""/>
      <w:lvlJc w:val="left"/>
      <w:pPr>
        <w:ind w:left="360" w:hanging="360"/>
      </w:pPr>
      <w:rPr>
        <w:rFonts w:ascii="Symbol" w:hAnsi="Symbol" w:hint="default"/>
      </w:rPr>
    </w:lvl>
    <w:lvl w:ilvl="1" w:tplc="E9F2768C">
      <w:numFmt w:val="bullet"/>
      <w:lvlText w:val="•"/>
      <w:lvlJc w:val="left"/>
      <w:pPr>
        <w:ind w:left="1080" w:hanging="360"/>
      </w:pPr>
      <w:rPr>
        <w:rFonts w:ascii="Cambria" w:eastAsiaTheme="minorHAnsi" w:hAnsi="Cambria"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0A830375"/>
    <w:multiLevelType w:val="hybridMultilevel"/>
    <w:tmpl w:val="B44E923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3711603"/>
    <w:multiLevelType w:val="hybridMultilevel"/>
    <w:tmpl w:val="5D609B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E27309"/>
    <w:multiLevelType w:val="hybridMultilevel"/>
    <w:tmpl w:val="D682DF56"/>
    <w:lvl w:ilvl="0" w:tplc="10090003">
      <w:start w:val="1"/>
      <w:numFmt w:val="bullet"/>
      <w:lvlText w:val="o"/>
      <w:lvlJc w:val="left"/>
      <w:pPr>
        <w:ind w:left="720" w:hanging="360"/>
      </w:pPr>
      <w:rPr>
        <w:rFonts w:ascii="Courier New" w:hAnsi="Courier New" w:cs="Courier New" w:hint="default"/>
      </w:rPr>
    </w:lvl>
    <w:lvl w:ilvl="1" w:tplc="0BD41158">
      <w:numFmt w:val="bullet"/>
      <w:lvlText w:val="•"/>
      <w:lvlJc w:val="left"/>
      <w:pPr>
        <w:ind w:left="1800" w:hanging="720"/>
      </w:pPr>
      <w:rPr>
        <w:rFonts w:ascii="Cambria" w:eastAsiaTheme="minorHAnsi" w:hAnsi="Cambria"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4D606CD"/>
    <w:multiLevelType w:val="hybridMultilevel"/>
    <w:tmpl w:val="1E225A7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06E5C74"/>
    <w:multiLevelType w:val="hybridMultilevel"/>
    <w:tmpl w:val="20B8772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27F173D"/>
    <w:multiLevelType w:val="hybridMultilevel"/>
    <w:tmpl w:val="8806AFF6"/>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43000B0"/>
    <w:multiLevelType w:val="hybridMultilevel"/>
    <w:tmpl w:val="04CECD98"/>
    <w:lvl w:ilvl="0" w:tplc="10090001">
      <w:start w:val="1"/>
      <w:numFmt w:val="bullet"/>
      <w:lvlText w:val=""/>
      <w:lvlJc w:val="left"/>
      <w:pPr>
        <w:ind w:left="360" w:hanging="360"/>
      </w:pPr>
      <w:rPr>
        <w:rFonts w:ascii="Symbol" w:hAnsi="Symbol" w:hint="default"/>
      </w:rPr>
    </w:lvl>
    <w:lvl w:ilvl="1" w:tplc="F5BA62E8">
      <w:numFmt w:val="bullet"/>
      <w:lvlText w:val="•"/>
      <w:lvlJc w:val="left"/>
      <w:pPr>
        <w:ind w:left="1440" w:hanging="720"/>
      </w:pPr>
      <w:rPr>
        <w:rFonts w:ascii="Cambria" w:eastAsiaTheme="minorHAnsi" w:hAnsi="Cambria" w:cs="Times New Roman"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30770BB3"/>
    <w:multiLevelType w:val="hybridMultilevel"/>
    <w:tmpl w:val="C816A9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40402F"/>
    <w:multiLevelType w:val="hybridMultilevel"/>
    <w:tmpl w:val="DC5E7E64"/>
    <w:lvl w:ilvl="0" w:tplc="574EB316">
      <w:numFmt w:val="bullet"/>
      <w:lvlText w:val="•"/>
      <w:lvlJc w:val="left"/>
      <w:pPr>
        <w:ind w:left="720" w:hanging="720"/>
      </w:pPr>
      <w:rPr>
        <w:rFonts w:ascii="Cambria" w:eastAsiaTheme="minorHAnsi" w:hAnsi="Cambria"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C507779"/>
    <w:multiLevelType w:val="hybridMultilevel"/>
    <w:tmpl w:val="5A943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F99062C"/>
    <w:multiLevelType w:val="hybridMultilevel"/>
    <w:tmpl w:val="CE8670F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4B390064"/>
    <w:multiLevelType w:val="hybridMultilevel"/>
    <w:tmpl w:val="36442870"/>
    <w:lvl w:ilvl="0" w:tplc="363CF0F2">
      <w:start w:val="1"/>
      <w:numFmt w:val="low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2694024"/>
    <w:multiLevelType w:val="hybridMultilevel"/>
    <w:tmpl w:val="9C8402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54FB75D0"/>
    <w:multiLevelType w:val="multilevel"/>
    <w:tmpl w:val="D98A1A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55F42C15"/>
    <w:multiLevelType w:val="hybridMultilevel"/>
    <w:tmpl w:val="C018FC0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56AA0065"/>
    <w:multiLevelType w:val="hybridMultilevel"/>
    <w:tmpl w:val="938856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E4E22C9"/>
    <w:multiLevelType w:val="hybridMultilevel"/>
    <w:tmpl w:val="6532B9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594222D"/>
    <w:multiLevelType w:val="hybridMultilevel"/>
    <w:tmpl w:val="7FC2BD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7A60849"/>
    <w:multiLevelType w:val="hybridMultilevel"/>
    <w:tmpl w:val="0EBCAE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69AB2535"/>
    <w:multiLevelType w:val="hybridMultilevel"/>
    <w:tmpl w:val="5C72D5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B4F0EED"/>
    <w:multiLevelType w:val="hybridMultilevel"/>
    <w:tmpl w:val="860CE5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6B6D00C5"/>
    <w:multiLevelType w:val="hybridMultilevel"/>
    <w:tmpl w:val="52E81B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72C3628D"/>
    <w:multiLevelType w:val="hybridMultilevel"/>
    <w:tmpl w:val="1D8E351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77C811DF"/>
    <w:multiLevelType w:val="hybridMultilevel"/>
    <w:tmpl w:val="9B8A7352"/>
    <w:lvl w:ilvl="0" w:tplc="10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FD14505"/>
    <w:multiLevelType w:val="hybridMultilevel"/>
    <w:tmpl w:val="339E7E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3"/>
  </w:num>
  <w:num w:numId="4">
    <w:abstractNumId w:val="14"/>
  </w:num>
  <w:num w:numId="5">
    <w:abstractNumId w:val="1"/>
  </w:num>
  <w:num w:numId="6">
    <w:abstractNumId w:val="9"/>
  </w:num>
  <w:num w:numId="7">
    <w:abstractNumId w:val="2"/>
  </w:num>
  <w:num w:numId="8">
    <w:abstractNumId w:val="13"/>
  </w:num>
  <w:num w:numId="9">
    <w:abstractNumId w:val="7"/>
  </w:num>
  <w:num w:numId="10">
    <w:abstractNumId w:val="25"/>
  </w:num>
  <w:num w:numId="11">
    <w:abstractNumId w:val="6"/>
  </w:num>
  <w:num w:numId="12">
    <w:abstractNumId w:val="0"/>
  </w:num>
  <w:num w:numId="13">
    <w:abstractNumId w:val="22"/>
  </w:num>
  <w:num w:numId="14">
    <w:abstractNumId w:val="4"/>
  </w:num>
  <w:num w:numId="15">
    <w:abstractNumId w:val="17"/>
  </w:num>
  <w:num w:numId="16">
    <w:abstractNumId w:val="20"/>
  </w:num>
  <w:num w:numId="17">
    <w:abstractNumId w:val="12"/>
  </w:num>
  <w:num w:numId="18">
    <w:abstractNumId w:val="11"/>
  </w:num>
  <w:num w:numId="19">
    <w:abstractNumId w:val="24"/>
  </w:num>
  <w:num w:numId="20">
    <w:abstractNumId w:val="21"/>
  </w:num>
  <w:num w:numId="21">
    <w:abstractNumId w:val="5"/>
  </w:num>
  <w:num w:numId="22">
    <w:abstractNumId w:val="15"/>
  </w:num>
  <w:num w:numId="23">
    <w:abstractNumId w:val="27"/>
  </w:num>
  <w:num w:numId="24">
    <w:abstractNumId w:val="26"/>
  </w:num>
  <w:num w:numId="25">
    <w:abstractNumId w:val="18"/>
  </w:num>
  <w:num w:numId="26">
    <w:abstractNumId w:val="10"/>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235"/>
    <w:rsid w:val="00021BE2"/>
    <w:rsid w:val="000A349A"/>
    <w:rsid w:val="000A75D3"/>
    <w:rsid w:val="000B6A1E"/>
    <w:rsid w:val="001A32BF"/>
    <w:rsid w:val="001E7F1C"/>
    <w:rsid w:val="00276CEC"/>
    <w:rsid w:val="002A6876"/>
    <w:rsid w:val="002B770B"/>
    <w:rsid w:val="003119D6"/>
    <w:rsid w:val="003B3CA1"/>
    <w:rsid w:val="00401D3E"/>
    <w:rsid w:val="004147DE"/>
    <w:rsid w:val="00472235"/>
    <w:rsid w:val="00514F80"/>
    <w:rsid w:val="00571D26"/>
    <w:rsid w:val="00607568"/>
    <w:rsid w:val="0075210F"/>
    <w:rsid w:val="007A6A09"/>
    <w:rsid w:val="008F0612"/>
    <w:rsid w:val="008F1DCA"/>
    <w:rsid w:val="0093518D"/>
    <w:rsid w:val="00A018E7"/>
    <w:rsid w:val="00B255D3"/>
    <w:rsid w:val="00C55AE9"/>
    <w:rsid w:val="00CA517E"/>
    <w:rsid w:val="00CF3071"/>
    <w:rsid w:val="00DA5BA8"/>
    <w:rsid w:val="00F72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3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2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0A349A"/>
    <w:pPr>
      <w:ind w:left="720"/>
      <w:contextualSpacing/>
    </w:pPr>
  </w:style>
  <w:style w:type="paragraph" w:styleId="BalloonText">
    <w:name w:val="Balloon Text"/>
    <w:basedOn w:val="Normal"/>
    <w:link w:val="BalloonTextChar"/>
    <w:uiPriority w:val="99"/>
    <w:semiHidden/>
    <w:unhideWhenUsed/>
    <w:rsid w:val="004147DE"/>
    <w:rPr>
      <w:rFonts w:ascii="Tahoma" w:hAnsi="Tahoma" w:cs="Tahoma"/>
      <w:sz w:val="16"/>
      <w:szCs w:val="16"/>
    </w:rPr>
  </w:style>
  <w:style w:type="character" w:customStyle="1" w:styleId="BalloonTextChar">
    <w:name w:val="Balloon Text Char"/>
    <w:basedOn w:val="DefaultParagraphFont"/>
    <w:link w:val="BalloonText"/>
    <w:uiPriority w:val="99"/>
    <w:semiHidden/>
    <w:rsid w:val="004147DE"/>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23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2235"/>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0A349A"/>
    <w:pPr>
      <w:ind w:left="720"/>
      <w:contextualSpacing/>
    </w:pPr>
  </w:style>
  <w:style w:type="paragraph" w:styleId="BalloonText">
    <w:name w:val="Balloon Text"/>
    <w:basedOn w:val="Normal"/>
    <w:link w:val="BalloonTextChar"/>
    <w:uiPriority w:val="99"/>
    <w:semiHidden/>
    <w:unhideWhenUsed/>
    <w:rsid w:val="004147DE"/>
    <w:rPr>
      <w:rFonts w:ascii="Tahoma" w:hAnsi="Tahoma" w:cs="Tahoma"/>
      <w:sz w:val="16"/>
      <w:szCs w:val="16"/>
    </w:rPr>
  </w:style>
  <w:style w:type="character" w:customStyle="1" w:styleId="BalloonTextChar">
    <w:name w:val="Balloon Text Char"/>
    <w:basedOn w:val="DefaultParagraphFont"/>
    <w:link w:val="BalloonText"/>
    <w:uiPriority w:val="99"/>
    <w:semiHidden/>
    <w:rsid w:val="004147DE"/>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60212">
      <w:bodyDiv w:val="1"/>
      <w:marLeft w:val="0"/>
      <w:marRight w:val="0"/>
      <w:marTop w:val="0"/>
      <w:marBottom w:val="0"/>
      <w:divBdr>
        <w:top w:val="none" w:sz="0" w:space="0" w:color="auto"/>
        <w:left w:val="none" w:sz="0" w:space="0" w:color="auto"/>
        <w:bottom w:val="none" w:sz="0" w:space="0" w:color="auto"/>
        <w:right w:val="none" w:sz="0" w:space="0" w:color="auto"/>
      </w:divBdr>
    </w:div>
    <w:div w:id="499346531">
      <w:bodyDiv w:val="1"/>
      <w:marLeft w:val="0"/>
      <w:marRight w:val="0"/>
      <w:marTop w:val="0"/>
      <w:marBottom w:val="0"/>
      <w:divBdr>
        <w:top w:val="none" w:sz="0" w:space="0" w:color="auto"/>
        <w:left w:val="none" w:sz="0" w:space="0" w:color="auto"/>
        <w:bottom w:val="none" w:sz="0" w:space="0" w:color="auto"/>
        <w:right w:val="none" w:sz="0" w:space="0" w:color="auto"/>
      </w:divBdr>
    </w:div>
    <w:div w:id="630014795">
      <w:bodyDiv w:val="1"/>
      <w:marLeft w:val="0"/>
      <w:marRight w:val="0"/>
      <w:marTop w:val="0"/>
      <w:marBottom w:val="0"/>
      <w:divBdr>
        <w:top w:val="none" w:sz="0" w:space="0" w:color="auto"/>
        <w:left w:val="none" w:sz="0" w:space="0" w:color="auto"/>
        <w:bottom w:val="none" w:sz="0" w:space="0" w:color="auto"/>
        <w:right w:val="none" w:sz="0" w:space="0" w:color="auto"/>
      </w:divBdr>
    </w:div>
    <w:div w:id="643705046">
      <w:bodyDiv w:val="1"/>
      <w:marLeft w:val="0"/>
      <w:marRight w:val="0"/>
      <w:marTop w:val="0"/>
      <w:marBottom w:val="0"/>
      <w:divBdr>
        <w:top w:val="none" w:sz="0" w:space="0" w:color="auto"/>
        <w:left w:val="none" w:sz="0" w:space="0" w:color="auto"/>
        <w:bottom w:val="none" w:sz="0" w:space="0" w:color="auto"/>
        <w:right w:val="none" w:sz="0" w:space="0" w:color="auto"/>
      </w:divBdr>
    </w:div>
    <w:div w:id="952056695">
      <w:bodyDiv w:val="1"/>
      <w:marLeft w:val="0"/>
      <w:marRight w:val="0"/>
      <w:marTop w:val="0"/>
      <w:marBottom w:val="0"/>
      <w:divBdr>
        <w:top w:val="none" w:sz="0" w:space="0" w:color="auto"/>
        <w:left w:val="none" w:sz="0" w:space="0" w:color="auto"/>
        <w:bottom w:val="none" w:sz="0" w:space="0" w:color="auto"/>
        <w:right w:val="none" w:sz="0" w:space="0" w:color="auto"/>
      </w:divBdr>
    </w:div>
    <w:div w:id="999117076">
      <w:bodyDiv w:val="1"/>
      <w:marLeft w:val="0"/>
      <w:marRight w:val="0"/>
      <w:marTop w:val="0"/>
      <w:marBottom w:val="0"/>
      <w:divBdr>
        <w:top w:val="none" w:sz="0" w:space="0" w:color="auto"/>
        <w:left w:val="none" w:sz="0" w:space="0" w:color="auto"/>
        <w:bottom w:val="none" w:sz="0" w:space="0" w:color="auto"/>
        <w:right w:val="none" w:sz="0" w:space="0" w:color="auto"/>
      </w:divBdr>
    </w:div>
    <w:div w:id="1028869890">
      <w:bodyDiv w:val="1"/>
      <w:marLeft w:val="0"/>
      <w:marRight w:val="0"/>
      <w:marTop w:val="0"/>
      <w:marBottom w:val="0"/>
      <w:divBdr>
        <w:top w:val="none" w:sz="0" w:space="0" w:color="auto"/>
        <w:left w:val="none" w:sz="0" w:space="0" w:color="auto"/>
        <w:bottom w:val="none" w:sz="0" w:space="0" w:color="auto"/>
        <w:right w:val="none" w:sz="0" w:space="0" w:color="auto"/>
      </w:divBdr>
    </w:div>
    <w:div w:id="1159149044">
      <w:bodyDiv w:val="1"/>
      <w:marLeft w:val="0"/>
      <w:marRight w:val="0"/>
      <w:marTop w:val="0"/>
      <w:marBottom w:val="0"/>
      <w:divBdr>
        <w:top w:val="none" w:sz="0" w:space="0" w:color="auto"/>
        <w:left w:val="none" w:sz="0" w:space="0" w:color="auto"/>
        <w:bottom w:val="none" w:sz="0" w:space="0" w:color="auto"/>
        <w:right w:val="none" w:sz="0" w:space="0" w:color="auto"/>
      </w:divBdr>
    </w:div>
    <w:div w:id="1223254042">
      <w:bodyDiv w:val="1"/>
      <w:marLeft w:val="0"/>
      <w:marRight w:val="0"/>
      <w:marTop w:val="0"/>
      <w:marBottom w:val="0"/>
      <w:divBdr>
        <w:top w:val="none" w:sz="0" w:space="0" w:color="auto"/>
        <w:left w:val="none" w:sz="0" w:space="0" w:color="auto"/>
        <w:bottom w:val="none" w:sz="0" w:space="0" w:color="auto"/>
        <w:right w:val="none" w:sz="0" w:space="0" w:color="auto"/>
      </w:divBdr>
    </w:div>
    <w:div w:id="1252349538">
      <w:bodyDiv w:val="1"/>
      <w:marLeft w:val="0"/>
      <w:marRight w:val="0"/>
      <w:marTop w:val="0"/>
      <w:marBottom w:val="0"/>
      <w:divBdr>
        <w:top w:val="none" w:sz="0" w:space="0" w:color="auto"/>
        <w:left w:val="none" w:sz="0" w:space="0" w:color="auto"/>
        <w:bottom w:val="none" w:sz="0" w:space="0" w:color="auto"/>
        <w:right w:val="none" w:sz="0" w:space="0" w:color="auto"/>
      </w:divBdr>
    </w:div>
    <w:div w:id="1322780427">
      <w:bodyDiv w:val="1"/>
      <w:marLeft w:val="0"/>
      <w:marRight w:val="0"/>
      <w:marTop w:val="0"/>
      <w:marBottom w:val="0"/>
      <w:divBdr>
        <w:top w:val="none" w:sz="0" w:space="0" w:color="auto"/>
        <w:left w:val="none" w:sz="0" w:space="0" w:color="auto"/>
        <w:bottom w:val="none" w:sz="0" w:space="0" w:color="auto"/>
        <w:right w:val="none" w:sz="0" w:space="0" w:color="auto"/>
      </w:divBdr>
    </w:div>
    <w:div w:id="1381051378">
      <w:bodyDiv w:val="1"/>
      <w:marLeft w:val="0"/>
      <w:marRight w:val="0"/>
      <w:marTop w:val="0"/>
      <w:marBottom w:val="0"/>
      <w:divBdr>
        <w:top w:val="none" w:sz="0" w:space="0" w:color="auto"/>
        <w:left w:val="none" w:sz="0" w:space="0" w:color="auto"/>
        <w:bottom w:val="none" w:sz="0" w:space="0" w:color="auto"/>
        <w:right w:val="none" w:sz="0" w:space="0" w:color="auto"/>
      </w:divBdr>
      <w:divsChild>
        <w:div w:id="98112365">
          <w:marLeft w:val="0"/>
          <w:marRight w:val="0"/>
          <w:marTop w:val="0"/>
          <w:marBottom w:val="0"/>
          <w:divBdr>
            <w:top w:val="none" w:sz="0" w:space="0" w:color="auto"/>
            <w:left w:val="none" w:sz="0" w:space="0" w:color="auto"/>
            <w:bottom w:val="none" w:sz="0" w:space="0" w:color="auto"/>
            <w:right w:val="none" w:sz="0" w:space="0" w:color="auto"/>
          </w:divBdr>
        </w:div>
        <w:div w:id="931084631">
          <w:marLeft w:val="0"/>
          <w:marRight w:val="0"/>
          <w:marTop w:val="0"/>
          <w:marBottom w:val="0"/>
          <w:divBdr>
            <w:top w:val="none" w:sz="0" w:space="0" w:color="auto"/>
            <w:left w:val="none" w:sz="0" w:space="0" w:color="auto"/>
            <w:bottom w:val="none" w:sz="0" w:space="0" w:color="auto"/>
            <w:right w:val="none" w:sz="0" w:space="0" w:color="auto"/>
          </w:divBdr>
        </w:div>
      </w:divsChild>
    </w:div>
    <w:div w:id="1477213065">
      <w:bodyDiv w:val="1"/>
      <w:marLeft w:val="0"/>
      <w:marRight w:val="0"/>
      <w:marTop w:val="0"/>
      <w:marBottom w:val="0"/>
      <w:divBdr>
        <w:top w:val="none" w:sz="0" w:space="0" w:color="auto"/>
        <w:left w:val="none" w:sz="0" w:space="0" w:color="auto"/>
        <w:bottom w:val="none" w:sz="0" w:space="0" w:color="auto"/>
        <w:right w:val="none" w:sz="0" w:space="0" w:color="auto"/>
      </w:divBdr>
    </w:div>
    <w:div w:id="1506675873">
      <w:bodyDiv w:val="1"/>
      <w:marLeft w:val="0"/>
      <w:marRight w:val="0"/>
      <w:marTop w:val="0"/>
      <w:marBottom w:val="0"/>
      <w:divBdr>
        <w:top w:val="none" w:sz="0" w:space="0" w:color="auto"/>
        <w:left w:val="none" w:sz="0" w:space="0" w:color="auto"/>
        <w:bottom w:val="none" w:sz="0" w:space="0" w:color="auto"/>
        <w:right w:val="none" w:sz="0" w:space="0" w:color="auto"/>
      </w:divBdr>
    </w:div>
    <w:div w:id="1603222541">
      <w:bodyDiv w:val="1"/>
      <w:marLeft w:val="0"/>
      <w:marRight w:val="0"/>
      <w:marTop w:val="0"/>
      <w:marBottom w:val="0"/>
      <w:divBdr>
        <w:top w:val="none" w:sz="0" w:space="0" w:color="auto"/>
        <w:left w:val="none" w:sz="0" w:space="0" w:color="auto"/>
        <w:bottom w:val="none" w:sz="0" w:space="0" w:color="auto"/>
        <w:right w:val="none" w:sz="0" w:space="0" w:color="auto"/>
      </w:divBdr>
    </w:div>
    <w:div w:id="1675842359">
      <w:bodyDiv w:val="1"/>
      <w:marLeft w:val="0"/>
      <w:marRight w:val="0"/>
      <w:marTop w:val="0"/>
      <w:marBottom w:val="0"/>
      <w:divBdr>
        <w:top w:val="none" w:sz="0" w:space="0" w:color="auto"/>
        <w:left w:val="none" w:sz="0" w:space="0" w:color="auto"/>
        <w:bottom w:val="none" w:sz="0" w:space="0" w:color="auto"/>
        <w:right w:val="none" w:sz="0" w:space="0" w:color="auto"/>
      </w:divBdr>
    </w:div>
    <w:div w:id="1862932286">
      <w:bodyDiv w:val="1"/>
      <w:marLeft w:val="0"/>
      <w:marRight w:val="0"/>
      <w:marTop w:val="0"/>
      <w:marBottom w:val="0"/>
      <w:divBdr>
        <w:top w:val="none" w:sz="0" w:space="0" w:color="auto"/>
        <w:left w:val="none" w:sz="0" w:space="0" w:color="auto"/>
        <w:bottom w:val="none" w:sz="0" w:space="0" w:color="auto"/>
        <w:right w:val="none" w:sz="0" w:space="0" w:color="auto"/>
      </w:divBdr>
    </w:div>
    <w:div w:id="2058821618">
      <w:bodyDiv w:val="1"/>
      <w:marLeft w:val="0"/>
      <w:marRight w:val="0"/>
      <w:marTop w:val="0"/>
      <w:marBottom w:val="0"/>
      <w:divBdr>
        <w:top w:val="none" w:sz="0" w:space="0" w:color="auto"/>
        <w:left w:val="none" w:sz="0" w:space="0" w:color="auto"/>
        <w:bottom w:val="none" w:sz="0" w:space="0" w:color="auto"/>
        <w:right w:val="none" w:sz="0" w:space="0" w:color="auto"/>
      </w:divBdr>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1311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994</Words>
  <Characters>5672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Kazimirski</dc:creator>
  <cp:lastModifiedBy>Elda Havlin</cp:lastModifiedBy>
  <cp:revision>2</cp:revision>
  <dcterms:created xsi:type="dcterms:W3CDTF">2016-03-21T22:36:00Z</dcterms:created>
  <dcterms:modified xsi:type="dcterms:W3CDTF">2016-03-21T22:36:00Z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kazimirski\Documents\MAK </vt:lpwstr>
  </property>
</Properties>
</file>