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0E22D3" w:rsidTr="00EE5FE2">
        <w:tc>
          <w:tcPr>
            <w:tcW w:w="3227" w:type="dxa"/>
            <w:tcBorders>
              <w:top w:val="single" w:sz="4" w:space="0" w:color="auto"/>
              <w:left w:val="nil"/>
              <w:bottom w:val="nil"/>
              <w:right w:val="nil"/>
            </w:tcBorders>
          </w:tcPr>
          <w:p w:rsidR="000E22D3" w:rsidRDefault="000E22D3" w:rsidP="00C2477F">
            <w:pPr>
              <w:pStyle w:val="Title"/>
              <w:tabs>
                <w:tab w:val="left" w:pos="360"/>
              </w:tabs>
              <w:ind w:right="0"/>
              <w:jc w:val="left"/>
              <w:rPr>
                <w:sz w:val="24"/>
                <w:szCs w:val="24"/>
              </w:rPr>
            </w:pPr>
          </w:p>
        </w:tc>
        <w:tc>
          <w:tcPr>
            <w:tcW w:w="4081" w:type="dxa"/>
            <w:tcBorders>
              <w:top w:val="single" w:sz="4" w:space="0" w:color="auto"/>
              <w:left w:val="nil"/>
              <w:bottom w:val="nil"/>
              <w:right w:val="nil"/>
            </w:tcBorders>
          </w:tcPr>
          <w:p w:rsidR="000E22D3" w:rsidRDefault="000E22D3" w:rsidP="003E2734">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0E22D3" w:rsidRDefault="000E22D3" w:rsidP="003E2734">
            <w:pPr>
              <w:pStyle w:val="Title"/>
              <w:tabs>
                <w:tab w:val="left" w:pos="360"/>
              </w:tabs>
              <w:ind w:right="0"/>
              <w:jc w:val="both"/>
              <w:rPr>
                <w:sz w:val="24"/>
                <w:szCs w:val="24"/>
              </w:rPr>
            </w:pPr>
          </w:p>
        </w:tc>
      </w:tr>
      <w:tr w:rsidR="000E22D3" w:rsidRPr="00D40664" w:rsidTr="00EE5FE2">
        <w:tc>
          <w:tcPr>
            <w:tcW w:w="3227" w:type="dxa"/>
            <w:tcBorders>
              <w:top w:val="nil"/>
              <w:left w:val="nil"/>
              <w:bottom w:val="nil"/>
              <w:right w:val="nil"/>
            </w:tcBorders>
            <w:hideMark/>
          </w:tcPr>
          <w:p w:rsidR="000E22D3" w:rsidRPr="00D40664" w:rsidRDefault="000E22D3" w:rsidP="00C2477F">
            <w:pPr>
              <w:pStyle w:val="Title"/>
              <w:tabs>
                <w:tab w:val="left" w:pos="360"/>
              </w:tabs>
              <w:ind w:right="0"/>
              <w:jc w:val="left"/>
              <w:rPr>
                <w:sz w:val="24"/>
                <w:szCs w:val="24"/>
              </w:rPr>
            </w:pPr>
            <w:r w:rsidRPr="00D40664">
              <w:rPr>
                <w:sz w:val="24"/>
                <w:szCs w:val="24"/>
              </w:rPr>
              <w:t>Law 435C.001</w:t>
            </w:r>
          </w:p>
        </w:tc>
        <w:tc>
          <w:tcPr>
            <w:tcW w:w="4081" w:type="dxa"/>
            <w:tcBorders>
              <w:top w:val="nil"/>
              <w:left w:val="nil"/>
              <w:bottom w:val="nil"/>
              <w:right w:val="nil"/>
            </w:tcBorders>
            <w:hideMark/>
          </w:tcPr>
          <w:p w:rsidR="000E22D3" w:rsidRPr="00D40664" w:rsidRDefault="000E22D3" w:rsidP="003E2734">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rsidR="000E22D3" w:rsidRPr="00D40664" w:rsidRDefault="00C2477F" w:rsidP="003E2734">
            <w:pPr>
              <w:pStyle w:val="Title"/>
              <w:tabs>
                <w:tab w:val="left" w:pos="360"/>
              </w:tabs>
              <w:ind w:right="0"/>
              <w:jc w:val="both"/>
              <w:rPr>
                <w:sz w:val="24"/>
                <w:szCs w:val="24"/>
              </w:rPr>
            </w:pPr>
            <w:r>
              <w:rPr>
                <w:sz w:val="24"/>
                <w:szCs w:val="24"/>
              </w:rPr>
              <w:t>2020</w:t>
            </w:r>
            <w:r w:rsidR="000E22D3" w:rsidRPr="00D40664">
              <w:rPr>
                <w:sz w:val="24"/>
                <w:szCs w:val="24"/>
              </w:rPr>
              <w:t xml:space="preserve">  Term 2</w:t>
            </w:r>
          </w:p>
        </w:tc>
      </w:tr>
      <w:tr w:rsidR="000E22D3" w:rsidRPr="00D40664" w:rsidTr="00EE5FE2">
        <w:tc>
          <w:tcPr>
            <w:tcW w:w="3227" w:type="dxa"/>
            <w:tcBorders>
              <w:top w:val="nil"/>
              <w:left w:val="nil"/>
              <w:bottom w:val="nil"/>
              <w:right w:val="nil"/>
            </w:tcBorders>
          </w:tcPr>
          <w:p w:rsidR="000E22D3" w:rsidRPr="00D40664" w:rsidRDefault="000E22D3" w:rsidP="00C2477F">
            <w:pPr>
              <w:pStyle w:val="Title"/>
              <w:tabs>
                <w:tab w:val="left" w:pos="360"/>
              </w:tabs>
              <w:ind w:right="0"/>
              <w:jc w:val="left"/>
              <w:rPr>
                <w:sz w:val="24"/>
                <w:szCs w:val="24"/>
              </w:rPr>
            </w:pPr>
          </w:p>
        </w:tc>
        <w:tc>
          <w:tcPr>
            <w:tcW w:w="4081" w:type="dxa"/>
            <w:tcBorders>
              <w:top w:val="nil"/>
              <w:left w:val="nil"/>
              <w:bottom w:val="nil"/>
              <w:right w:val="nil"/>
            </w:tcBorders>
          </w:tcPr>
          <w:p w:rsidR="000E22D3" w:rsidRPr="00D40664" w:rsidRDefault="000E22D3" w:rsidP="003E2734">
            <w:pPr>
              <w:pStyle w:val="Title"/>
              <w:tabs>
                <w:tab w:val="left" w:pos="360"/>
              </w:tabs>
              <w:ind w:right="0"/>
              <w:jc w:val="both"/>
              <w:rPr>
                <w:b w:val="0"/>
                <w:sz w:val="24"/>
                <w:szCs w:val="24"/>
              </w:rPr>
            </w:pPr>
          </w:p>
        </w:tc>
        <w:tc>
          <w:tcPr>
            <w:tcW w:w="2952" w:type="dxa"/>
            <w:tcBorders>
              <w:top w:val="nil"/>
              <w:left w:val="nil"/>
              <w:bottom w:val="nil"/>
              <w:right w:val="nil"/>
            </w:tcBorders>
          </w:tcPr>
          <w:p w:rsidR="000E22D3" w:rsidRPr="00D40664" w:rsidRDefault="000E22D3" w:rsidP="003E2734">
            <w:pPr>
              <w:pStyle w:val="Title"/>
              <w:tabs>
                <w:tab w:val="left" w:pos="360"/>
              </w:tabs>
              <w:ind w:right="0"/>
              <w:jc w:val="both"/>
              <w:rPr>
                <w:sz w:val="24"/>
                <w:szCs w:val="24"/>
              </w:rPr>
            </w:pPr>
          </w:p>
        </w:tc>
      </w:tr>
      <w:tr w:rsidR="000E22D3" w:rsidRPr="00D40664" w:rsidTr="00EE5FE2">
        <w:tc>
          <w:tcPr>
            <w:tcW w:w="3227" w:type="dxa"/>
            <w:tcBorders>
              <w:top w:val="nil"/>
              <w:left w:val="nil"/>
              <w:bottom w:val="nil"/>
              <w:right w:val="nil"/>
            </w:tcBorders>
            <w:hideMark/>
          </w:tcPr>
          <w:p w:rsidR="000E22D3" w:rsidRPr="00D40664" w:rsidRDefault="000E22D3" w:rsidP="00C2477F">
            <w:pPr>
              <w:pStyle w:val="Title"/>
              <w:tabs>
                <w:tab w:val="left" w:pos="360"/>
              </w:tabs>
              <w:ind w:right="0"/>
              <w:jc w:val="left"/>
              <w:rPr>
                <w:b w:val="0"/>
                <w:sz w:val="24"/>
                <w:szCs w:val="24"/>
              </w:rPr>
            </w:pPr>
            <w:r w:rsidRPr="00D40664">
              <w:rPr>
                <w:b w:val="0"/>
                <w:sz w:val="24"/>
                <w:szCs w:val="24"/>
              </w:rPr>
              <w:t>Professors:</w:t>
            </w:r>
          </w:p>
          <w:p w:rsidR="000E22D3" w:rsidRPr="00D40664" w:rsidRDefault="000E22D3" w:rsidP="00C2477F">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rsidR="000E22D3" w:rsidRPr="00D40664" w:rsidRDefault="000E22D3" w:rsidP="003E2734">
            <w:pPr>
              <w:pStyle w:val="Title"/>
              <w:tabs>
                <w:tab w:val="left" w:pos="360"/>
              </w:tabs>
              <w:ind w:right="0"/>
              <w:jc w:val="both"/>
              <w:rPr>
                <w:b w:val="0"/>
                <w:sz w:val="24"/>
                <w:szCs w:val="24"/>
              </w:rPr>
            </w:pPr>
            <w:r w:rsidRPr="00D40664">
              <w:rPr>
                <w:b w:val="0"/>
                <w:sz w:val="24"/>
                <w:szCs w:val="24"/>
              </w:rPr>
              <w:t>Tel: (604) 681-9344</w:t>
            </w:r>
          </w:p>
          <w:p w:rsidR="000E22D3" w:rsidRPr="00D40664" w:rsidRDefault="00C2477F" w:rsidP="00C2477F">
            <w:pPr>
              <w:pStyle w:val="Title"/>
              <w:tabs>
                <w:tab w:val="left" w:pos="360"/>
              </w:tabs>
              <w:ind w:right="0"/>
              <w:jc w:val="left"/>
              <w:rPr>
                <w:b w:val="0"/>
                <w:sz w:val="24"/>
                <w:szCs w:val="24"/>
              </w:rPr>
            </w:pPr>
            <w:r>
              <w:rPr>
                <w:b w:val="0"/>
                <w:sz w:val="24"/>
                <w:szCs w:val="24"/>
              </w:rPr>
              <w:t xml:space="preserve">Email: </w:t>
            </w:r>
            <w:r w:rsidR="000E22D3" w:rsidRPr="00D40664">
              <w:rPr>
                <w:b w:val="0"/>
                <w:sz w:val="24"/>
                <w:szCs w:val="24"/>
              </w:rPr>
              <w:t xml:space="preserve">mak@kazlaw.ca </w:t>
            </w:r>
            <w:r w:rsidR="000E22D3">
              <w:rPr>
                <w:b w:val="0"/>
                <w:sz w:val="24"/>
                <w:szCs w:val="24"/>
              </w:rPr>
              <w:br/>
              <w:t xml:space="preserve">Email: sk@kazlaw.ca </w:t>
            </w:r>
            <w:r w:rsidR="000E22D3">
              <w:rPr>
                <w:b w:val="0"/>
                <w:sz w:val="24"/>
                <w:szCs w:val="24"/>
              </w:rPr>
              <w:br/>
            </w:r>
            <w:r w:rsidR="000E22D3" w:rsidRPr="00D40664">
              <w:rPr>
                <w:b w:val="0"/>
                <w:sz w:val="24"/>
                <w:szCs w:val="24"/>
              </w:rPr>
              <w:t>Office: 1900-570 Granville Street, Vancouver BC</w:t>
            </w:r>
          </w:p>
        </w:tc>
        <w:tc>
          <w:tcPr>
            <w:tcW w:w="2952" w:type="dxa"/>
            <w:tcBorders>
              <w:top w:val="nil"/>
              <w:left w:val="nil"/>
              <w:bottom w:val="nil"/>
              <w:right w:val="nil"/>
            </w:tcBorders>
          </w:tcPr>
          <w:p w:rsidR="000E22D3" w:rsidRPr="00D40664" w:rsidRDefault="000E22D3" w:rsidP="003E2734">
            <w:pPr>
              <w:pStyle w:val="Title"/>
              <w:tabs>
                <w:tab w:val="left" w:pos="360"/>
              </w:tabs>
              <w:ind w:right="0"/>
              <w:jc w:val="both"/>
              <w:rPr>
                <w:b w:val="0"/>
                <w:sz w:val="24"/>
                <w:szCs w:val="24"/>
              </w:rPr>
            </w:pPr>
            <w:r w:rsidRPr="00D40664">
              <w:rPr>
                <w:b w:val="0"/>
                <w:sz w:val="24"/>
                <w:szCs w:val="24"/>
              </w:rPr>
              <w:t>Mondays 5:00 – 8:00 pm</w:t>
            </w:r>
          </w:p>
          <w:p w:rsidR="000E22D3" w:rsidRPr="00D40664" w:rsidRDefault="000E22D3" w:rsidP="003E2734">
            <w:pPr>
              <w:pStyle w:val="Title"/>
              <w:tabs>
                <w:tab w:val="left" w:pos="360"/>
              </w:tabs>
              <w:ind w:right="0"/>
              <w:jc w:val="both"/>
              <w:rPr>
                <w:b w:val="0"/>
                <w:sz w:val="24"/>
                <w:szCs w:val="24"/>
              </w:rPr>
            </w:pPr>
            <w:r w:rsidRPr="00D40664">
              <w:rPr>
                <w:b w:val="0"/>
                <w:sz w:val="24"/>
                <w:szCs w:val="24"/>
              </w:rPr>
              <w:t>UBC Faculty of Law</w:t>
            </w:r>
          </w:p>
          <w:p w:rsidR="000E22D3" w:rsidRPr="00D40664" w:rsidRDefault="000E22D3" w:rsidP="003E2734">
            <w:pPr>
              <w:pStyle w:val="Title"/>
              <w:tabs>
                <w:tab w:val="left" w:pos="360"/>
              </w:tabs>
              <w:ind w:right="0"/>
              <w:jc w:val="both"/>
              <w:rPr>
                <w:b w:val="0"/>
                <w:sz w:val="24"/>
                <w:szCs w:val="24"/>
              </w:rPr>
            </w:pPr>
            <w:r w:rsidRPr="00D40664">
              <w:rPr>
                <w:b w:val="0"/>
                <w:sz w:val="24"/>
                <w:szCs w:val="24"/>
              </w:rPr>
              <w:t>Room 1</w:t>
            </w:r>
            <w:r w:rsidR="00C2477F">
              <w:rPr>
                <w:b w:val="0"/>
                <w:sz w:val="24"/>
                <w:szCs w:val="24"/>
              </w:rPr>
              <w:t>22 (Now Online)</w:t>
            </w:r>
          </w:p>
          <w:p w:rsidR="000E22D3" w:rsidRPr="00D40664" w:rsidRDefault="000E22D3" w:rsidP="003E2734">
            <w:pPr>
              <w:pStyle w:val="Title"/>
              <w:tabs>
                <w:tab w:val="left" w:pos="360"/>
              </w:tabs>
              <w:ind w:right="0"/>
              <w:jc w:val="both"/>
              <w:rPr>
                <w:b w:val="0"/>
                <w:sz w:val="24"/>
                <w:szCs w:val="24"/>
              </w:rPr>
            </w:pPr>
          </w:p>
        </w:tc>
      </w:tr>
      <w:tr w:rsidR="000E22D3" w:rsidRPr="00D40664" w:rsidTr="00EE5FE2">
        <w:tc>
          <w:tcPr>
            <w:tcW w:w="3227" w:type="dxa"/>
            <w:tcBorders>
              <w:top w:val="nil"/>
              <w:left w:val="nil"/>
              <w:bottom w:val="single" w:sz="4" w:space="0" w:color="auto"/>
              <w:right w:val="nil"/>
            </w:tcBorders>
          </w:tcPr>
          <w:p w:rsidR="000E22D3" w:rsidRPr="00D40664" w:rsidRDefault="000E22D3" w:rsidP="003E2734">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rsidR="000E22D3" w:rsidRPr="00D40664" w:rsidRDefault="000E22D3" w:rsidP="003E2734">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rsidR="000E22D3" w:rsidRPr="00D40664" w:rsidRDefault="000E22D3" w:rsidP="003E2734">
            <w:pPr>
              <w:pStyle w:val="Title"/>
              <w:tabs>
                <w:tab w:val="left" w:pos="360"/>
              </w:tabs>
              <w:ind w:right="0"/>
              <w:jc w:val="both"/>
              <w:rPr>
                <w:b w:val="0"/>
                <w:sz w:val="24"/>
                <w:szCs w:val="24"/>
              </w:rPr>
            </w:pPr>
          </w:p>
        </w:tc>
      </w:tr>
    </w:tbl>
    <w:p w:rsidR="000E22D3" w:rsidRDefault="000E22D3" w:rsidP="003E2734">
      <w:pPr>
        <w:jc w:val="both"/>
        <w:rPr>
          <w:rFonts w:ascii="Arial" w:hAnsi="Arial" w:cs="Arial"/>
          <w:b/>
          <w:sz w:val="24"/>
          <w:szCs w:val="24"/>
        </w:rPr>
      </w:pPr>
    </w:p>
    <w:p w:rsidR="00C678B5" w:rsidRDefault="005929F3" w:rsidP="003E2734">
      <w:pPr>
        <w:jc w:val="both"/>
        <w:rPr>
          <w:rFonts w:ascii="Arial" w:hAnsi="Arial" w:cs="Arial"/>
          <w:b/>
          <w:sz w:val="24"/>
          <w:szCs w:val="24"/>
        </w:rPr>
      </w:pPr>
      <w:r w:rsidRPr="005929F3">
        <w:rPr>
          <w:rFonts w:ascii="Arial" w:hAnsi="Arial" w:cs="Arial"/>
          <w:b/>
          <w:sz w:val="24"/>
          <w:szCs w:val="24"/>
        </w:rPr>
        <w:t xml:space="preserve">WEEK </w:t>
      </w:r>
      <w:r w:rsidR="00FC3E68">
        <w:rPr>
          <w:rFonts w:ascii="Arial" w:hAnsi="Arial" w:cs="Arial"/>
          <w:b/>
          <w:sz w:val="24"/>
          <w:szCs w:val="24"/>
        </w:rPr>
        <w:t xml:space="preserve">ELEVEN: </w:t>
      </w:r>
      <w:r w:rsidR="00AD0F65">
        <w:rPr>
          <w:rFonts w:ascii="Arial" w:hAnsi="Arial" w:cs="Arial"/>
          <w:b/>
          <w:sz w:val="24"/>
          <w:szCs w:val="24"/>
        </w:rPr>
        <w:t>Mediation</w:t>
      </w:r>
      <w:r w:rsidR="006E5624">
        <w:rPr>
          <w:rFonts w:ascii="Arial" w:hAnsi="Arial" w:cs="Arial"/>
          <w:b/>
          <w:sz w:val="24"/>
          <w:szCs w:val="24"/>
        </w:rPr>
        <w:t xml:space="preserve"> and</w:t>
      </w:r>
      <w:r w:rsidR="0040546C">
        <w:rPr>
          <w:rFonts w:ascii="Arial" w:hAnsi="Arial" w:cs="Arial"/>
          <w:b/>
          <w:sz w:val="24"/>
          <w:szCs w:val="24"/>
        </w:rPr>
        <w:t xml:space="preserve"> post-</w:t>
      </w:r>
      <w:r w:rsidR="00AD0F65">
        <w:rPr>
          <w:rFonts w:ascii="Arial" w:hAnsi="Arial" w:cs="Arial"/>
          <w:b/>
          <w:sz w:val="24"/>
          <w:szCs w:val="24"/>
        </w:rPr>
        <w:t>judgment</w:t>
      </w:r>
      <w:r w:rsidR="0040546C">
        <w:rPr>
          <w:rFonts w:ascii="Arial" w:hAnsi="Arial" w:cs="Arial"/>
          <w:b/>
          <w:sz w:val="24"/>
          <w:szCs w:val="24"/>
        </w:rPr>
        <w:t xml:space="preserve"> / post-</w:t>
      </w:r>
      <w:r w:rsidR="00AD0F65">
        <w:rPr>
          <w:rFonts w:ascii="Arial" w:hAnsi="Arial" w:cs="Arial"/>
          <w:b/>
          <w:sz w:val="24"/>
          <w:szCs w:val="24"/>
        </w:rPr>
        <w:t>settlement</w:t>
      </w:r>
      <w:r w:rsidR="0040546C">
        <w:rPr>
          <w:rFonts w:ascii="Arial" w:hAnsi="Arial" w:cs="Arial"/>
          <w:b/>
          <w:sz w:val="24"/>
          <w:szCs w:val="24"/>
        </w:rPr>
        <w:t xml:space="preserve"> procedures</w:t>
      </w:r>
    </w:p>
    <w:p w:rsidR="0040546C" w:rsidRDefault="0040546C" w:rsidP="00202397">
      <w:pPr>
        <w:pStyle w:val="Default"/>
        <w:numPr>
          <w:ilvl w:val="0"/>
          <w:numId w:val="20"/>
        </w:numPr>
        <w:ind w:hanging="720"/>
        <w:jc w:val="both"/>
        <w:rPr>
          <w:rFonts w:ascii="Arial" w:hAnsi="Arial" w:cs="Arial"/>
          <w:b/>
        </w:rPr>
      </w:pPr>
      <w:r>
        <w:rPr>
          <w:rFonts w:ascii="Arial" w:hAnsi="Arial" w:cs="Arial"/>
          <w:b/>
        </w:rPr>
        <w:t xml:space="preserve">Teaching Objectives </w:t>
      </w:r>
    </w:p>
    <w:p w:rsidR="0040546C" w:rsidRDefault="0040546C" w:rsidP="0040546C">
      <w:pPr>
        <w:pStyle w:val="Default"/>
        <w:jc w:val="both"/>
        <w:rPr>
          <w:rFonts w:ascii="Arial" w:hAnsi="Arial" w:cs="Arial"/>
          <w:b/>
        </w:rPr>
      </w:pPr>
    </w:p>
    <w:p w:rsidR="0040546C" w:rsidRDefault="0040546C" w:rsidP="0040546C">
      <w:pPr>
        <w:pStyle w:val="Default"/>
        <w:spacing w:after="240"/>
        <w:jc w:val="both"/>
        <w:rPr>
          <w:rFonts w:ascii="Arial" w:hAnsi="Arial" w:cs="Arial"/>
        </w:rPr>
      </w:pPr>
      <w:r>
        <w:rPr>
          <w:rFonts w:ascii="Arial" w:hAnsi="Arial" w:cs="Arial"/>
        </w:rPr>
        <w:t xml:space="preserve">To ensure you understand how a resolution </w:t>
      </w:r>
      <w:r w:rsidR="00AD0F65">
        <w:rPr>
          <w:rFonts w:ascii="Arial" w:hAnsi="Arial" w:cs="Arial"/>
        </w:rPr>
        <w:t>may</w:t>
      </w:r>
      <w:r>
        <w:rPr>
          <w:rFonts w:ascii="Arial" w:hAnsi="Arial" w:cs="Arial"/>
        </w:rPr>
        <w:t xml:space="preserve"> be achieved</w:t>
      </w:r>
      <w:r w:rsidR="00AD0F65">
        <w:rPr>
          <w:rFonts w:ascii="Arial" w:hAnsi="Arial" w:cs="Arial"/>
        </w:rPr>
        <w:t xml:space="preserve"> at mediation</w:t>
      </w:r>
      <w:r w:rsidR="006E5624">
        <w:rPr>
          <w:rFonts w:ascii="Arial" w:hAnsi="Arial" w:cs="Arial"/>
        </w:rPr>
        <w:t xml:space="preserve"> before trial</w:t>
      </w:r>
      <w:r w:rsidR="00AD0F65">
        <w:rPr>
          <w:rFonts w:ascii="Arial" w:hAnsi="Arial" w:cs="Arial"/>
        </w:rPr>
        <w:t>,</w:t>
      </w:r>
      <w:r>
        <w:rPr>
          <w:rFonts w:ascii="Arial" w:hAnsi="Arial" w:cs="Arial"/>
        </w:rPr>
        <w:t xml:space="preserve"> and what happens </w:t>
      </w:r>
      <w:r>
        <w:rPr>
          <w:rFonts w:ascii="Arial" w:hAnsi="Arial" w:cs="Arial"/>
          <w:i/>
        </w:rPr>
        <w:t xml:space="preserve">after </w:t>
      </w:r>
      <w:r>
        <w:rPr>
          <w:rFonts w:ascii="Arial" w:hAnsi="Arial" w:cs="Arial"/>
        </w:rPr>
        <w:t xml:space="preserve">a settlement or a trial, to ensure finality </w:t>
      </w:r>
      <w:r w:rsidR="006E5624">
        <w:rPr>
          <w:rFonts w:ascii="Arial" w:hAnsi="Arial" w:cs="Arial"/>
        </w:rPr>
        <w:t>of the proceedings</w:t>
      </w:r>
      <w:r>
        <w:rPr>
          <w:rFonts w:ascii="Arial" w:hAnsi="Arial" w:cs="Arial"/>
        </w:rPr>
        <w:t>.  This includes consideration of:</w:t>
      </w:r>
    </w:p>
    <w:p w:rsidR="0040546C"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 xml:space="preserve">Mediation under the applicable </w:t>
      </w:r>
      <w:r w:rsidRPr="00AD0F65">
        <w:rPr>
          <w:rFonts w:ascii="Arial" w:eastAsia="Times New Roman" w:hAnsi="Arial" w:cs="Arial"/>
          <w:i/>
          <w:color w:val="222222"/>
          <w:sz w:val="24"/>
          <w:szCs w:val="21"/>
        </w:rPr>
        <w:t>Notice to Mediate Regulations</w:t>
      </w:r>
      <w:r>
        <w:rPr>
          <w:rFonts w:ascii="Arial" w:eastAsia="Times New Roman" w:hAnsi="Arial" w:cs="Arial"/>
          <w:color w:val="222222"/>
          <w:sz w:val="24"/>
          <w:szCs w:val="21"/>
        </w:rPr>
        <w:t xml:space="preserve">; </w:t>
      </w:r>
    </w:p>
    <w:p w:rsidR="0040546C"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 xml:space="preserve">How to </w:t>
      </w:r>
      <w:r w:rsidR="006E5624">
        <w:rPr>
          <w:rFonts w:ascii="Arial" w:eastAsia="Times New Roman" w:hAnsi="Arial" w:cs="Arial"/>
          <w:color w:val="222222"/>
          <w:sz w:val="24"/>
          <w:szCs w:val="21"/>
        </w:rPr>
        <w:t>document a settlement, including drafting of releases;</w:t>
      </w:r>
    </w:p>
    <w:p w:rsidR="006E5624" w:rsidRDefault="006E5624"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BC Ferry Agreements in the case of multi-party litigation;</w:t>
      </w:r>
    </w:p>
    <w:p w:rsidR="00A231E7" w:rsidRDefault="00A231E7"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sidRPr="0040546C">
        <w:rPr>
          <w:rFonts w:ascii="Arial" w:eastAsia="Times New Roman" w:hAnsi="Arial" w:cs="Arial"/>
          <w:color w:val="222222"/>
          <w:sz w:val="24"/>
          <w:szCs w:val="21"/>
        </w:rPr>
        <w:t>Public Guardian and Trust</w:t>
      </w:r>
      <w:r>
        <w:rPr>
          <w:rFonts w:ascii="Arial" w:eastAsia="Times New Roman" w:hAnsi="Arial" w:cs="Arial"/>
          <w:color w:val="222222"/>
          <w:sz w:val="24"/>
          <w:szCs w:val="21"/>
        </w:rPr>
        <w:t xml:space="preserve">ee review of infant settlements; </w:t>
      </w:r>
    </w:p>
    <w:p w:rsidR="0040546C" w:rsidRPr="0040546C" w:rsidRDefault="004B4127"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Formal</w:t>
      </w:r>
      <w:r w:rsidR="0040546C">
        <w:rPr>
          <w:rFonts w:ascii="Arial" w:eastAsia="Times New Roman" w:hAnsi="Arial" w:cs="Arial"/>
          <w:color w:val="222222"/>
          <w:sz w:val="24"/>
          <w:szCs w:val="21"/>
        </w:rPr>
        <w:t xml:space="preserve"> offers to settle </w:t>
      </w:r>
      <w:r>
        <w:rPr>
          <w:rFonts w:ascii="Arial" w:eastAsia="Times New Roman" w:hAnsi="Arial" w:cs="Arial"/>
          <w:color w:val="222222"/>
          <w:sz w:val="24"/>
          <w:szCs w:val="21"/>
        </w:rPr>
        <w:t>and</w:t>
      </w:r>
      <w:r w:rsidR="0040546C">
        <w:rPr>
          <w:rFonts w:ascii="Arial" w:eastAsia="Times New Roman" w:hAnsi="Arial" w:cs="Arial"/>
          <w:color w:val="222222"/>
          <w:sz w:val="24"/>
          <w:szCs w:val="21"/>
        </w:rPr>
        <w:t xml:space="preserve"> </w:t>
      </w:r>
      <w:r>
        <w:rPr>
          <w:rFonts w:ascii="Arial" w:eastAsia="Times New Roman" w:hAnsi="Arial" w:cs="Arial"/>
          <w:color w:val="222222"/>
          <w:sz w:val="24"/>
          <w:szCs w:val="21"/>
        </w:rPr>
        <w:t>cost consequences</w:t>
      </w:r>
      <w:r w:rsidR="0040546C">
        <w:rPr>
          <w:rFonts w:ascii="Arial" w:eastAsia="Times New Roman" w:hAnsi="Arial" w:cs="Arial"/>
          <w:color w:val="222222"/>
          <w:sz w:val="24"/>
          <w:szCs w:val="21"/>
        </w:rPr>
        <w:t>;</w:t>
      </w:r>
    </w:p>
    <w:p w:rsidR="0040546C"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Taxation of a bill of costs and disbursements;</w:t>
      </w:r>
    </w:p>
    <w:p w:rsidR="00A231E7"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 xml:space="preserve">The </w:t>
      </w:r>
      <w:r w:rsidRPr="0040546C">
        <w:rPr>
          <w:rFonts w:ascii="Arial" w:eastAsia="Times New Roman" w:hAnsi="Arial" w:cs="Arial"/>
          <w:i/>
          <w:color w:val="222222"/>
          <w:sz w:val="24"/>
          <w:szCs w:val="21"/>
        </w:rPr>
        <w:t>Health Care Costs Recovery Act</w:t>
      </w:r>
      <w:r>
        <w:rPr>
          <w:rFonts w:ascii="Arial" w:eastAsia="Times New Roman" w:hAnsi="Arial" w:cs="Arial"/>
          <w:color w:val="222222"/>
          <w:sz w:val="24"/>
          <w:szCs w:val="21"/>
        </w:rPr>
        <w:t xml:space="preserve">; </w:t>
      </w:r>
    </w:p>
    <w:p w:rsidR="0040546C" w:rsidRPr="0040546C" w:rsidRDefault="00A231E7"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 xml:space="preserve">Subrogated Interests; </w:t>
      </w:r>
      <w:r w:rsidR="0040546C">
        <w:rPr>
          <w:rFonts w:ascii="Arial" w:eastAsia="Times New Roman" w:hAnsi="Arial" w:cs="Arial"/>
          <w:color w:val="222222"/>
          <w:sz w:val="24"/>
          <w:szCs w:val="21"/>
        </w:rPr>
        <w:t>and</w:t>
      </w:r>
    </w:p>
    <w:p w:rsidR="0040546C" w:rsidRPr="0040546C"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sidRPr="0040546C">
        <w:rPr>
          <w:rFonts w:ascii="Arial" w:eastAsia="Times New Roman" w:hAnsi="Arial" w:cs="Arial"/>
          <w:color w:val="222222"/>
          <w:sz w:val="24"/>
          <w:szCs w:val="21"/>
        </w:rPr>
        <w:t>Appeal</w:t>
      </w:r>
      <w:r w:rsidR="00AD0F65">
        <w:rPr>
          <w:rFonts w:ascii="Arial" w:eastAsia="Times New Roman" w:hAnsi="Arial" w:cs="Arial"/>
          <w:color w:val="222222"/>
          <w:sz w:val="24"/>
          <w:szCs w:val="21"/>
        </w:rPr>
        <w:t xml:space="preserve"> deadline</w:t>
      </w:r>
      <w:r w:rsidRPr="0040546C">
        <w:rPr>
          <w:rFonts w:ascii="Arial" w:eastAsia="Times New Roman" w:hAnsi="Arial" w:cs="Arial"/>
          <w:color w:val="222222"/>
          <w:sz w:val="24"/>
          <w:szCs w:val="21"/>
        </w:rPr>
        <w:t>s.</w:t>
      </w:r>
    </w:p>
    <w:p w:rsidR="0040546C" w:rsidRDefault="0040546C" w:rsidP="0040546C">
      <w:pPr>
        <w:pStyle w:val="Default"/>
        <w:jc w:val="both"/>
        <w:rPr>
          <w:rFonts w:ascii="Arial" w:hAnsi="Arial" w:cs="Arial"/>
          <w:b/>
        </w:rPr>
      </w:pPr>
    </w:p>
    <w:p w:rsidR="0040546C" w:rsidRDefault="0040546C" w:rsidP="00536F24">
      <w:pPr>
        <w:pStyle w:val="Default"/>
        <w:spacing w:after="240"/>
        <w:jc w:val="both"/>
        <w:rPr>
          <w:rFonts w:ascii="Arial" w:hAnsi="Arial" w:cs="Arial"/>
        </w:rPr>
      </w:pPr>
      <w:r>
        <w:rPr>
          <w:rFonts w:ascii="Arial" w:hAnsi="Arial" w:cs="Arial"/>
        </w:rPr>
        <w:t xml:space="preserve">READING ASSIGNMENTS: </w:t>
      </w:r>
    </w:p>
    <w:p w:rsidR="006E5624" w:rsidRDefault="00536F24" w:rsidP="00202397">
      <w:pPr>
        <w:pStyle w:val="Default"/>
        <w:numPr>
          <w:ilvl w:val="0"/>
          <w:numId w:val="12"/>
        </w:numPr>
        <w:jc w:val="both"/>
        <w:rPr>
          <w:rFonts w:ascii="Arial" w:hAnsi="Arial" w:cs="Arial"/>
        </w:rPr>
      </w:pPr>
      <w:r>
        <w:rPr>
          <w:rFonts w:ascii="Arial" w:hAnsi="Arial" w:cs="Arial"/>
        </w:rPr>
        <w:t xml:space="preserve">Oral Reasons, </w:t>
      </w:r>
      <w:proofErr w:type="spellStart"/>
      <w:r>
        <w:rPr>
          <w:rFonts w:ascii="Arial" w:hAnsi="Arial" w:cs="Arial"/>
        </w:rPr>
        <w:t>Crossin</w:t>
      </w:r>
      <w:proofErr w:type="spellEnd"/>
      <w:r>
        <w:rPr>
          <w:rFonts w:ascii="Arial" w:hAnsi="Arial" w:cs="Arial"/>
        </w:rPr>
        <w:t xml:space="preserve">, J. </w:t>
      </w:r>
      <w:r>
        <w:rPr>
          <w:rFonts w:ascii="Arial" w:hAnsi="Arial" w:cs="Arial"/>
          <w:i/>
        </w:rPr>
        <w:t xml:space="preserve">Crawford v. </w:t>
      </w:r>
      <w:proofErr w:type="spellStart"/>
      <w:r>
        <w:rPr>
          <w:rFonts w:ascii="Arial" w:hAnsi="Arial" w:cs="Arial"/>
          <w:i/>
        </w:rPr>
        <w:t>Nazif</w:t>
      </w:r>
      <w:proofErr w:type="spellEnd"/>
      <w:r>
        <w:rPr>
          <w:rFonts w:ascii="Arial" w:hAnsi="Arial" w:cs="Arial"/>
          <w:i/>
        </w:rPr>
        <w:t xml:space="preserve">, et al., </w:t>
      </w:r>
      <w:r>
        <w:rPr>
          <w:rFonts w:ascii="Arial" w:hAnsi="Arial" w:cs="Arial"/>
        </w:rPr>
        <w:t xml:space="preserve">(Unreported), Vancouver Registry, Docket: S132325, 20190809 (Posted on the </w:t>
      </w:r>
      <w:proofErr w:type="spellStart"/>
      <w:r>
        <w:rPr>
          <w:rFonts w:ascii="Arial" w:hAnsi="Arial" w:cs="Arial"/>
        </w:rPr>
        <w:t>KazLaw</w:t>
      </w:r>
      <w:proofErr w:type="spellEnd"/>
      <w:r>
        <w:rPr>
          <w:rFonts w:ascii="Arial" w:hAnsi="Arial" w:cs="Arial"/>
        </w:rPr>
        <w:t xml:space="preserve"> website under Week 11).</w:t>
      </w:r>
    </w:p>
    <w:p w:rsidR="00AD0F65" w:rsidRDefault="00AD0F65" w:rsidP="00202397">
      <w:pPr>
        <w:pStyle w:val="Default"/>
        <w:numPr>
          <w:ilvl w:val="0"/>
          <w:numId w:val="12"/>
        </w:numPr>
        <w:jc w:val="both"/>
        <w:rPr>
          <w:rFonts w:ascii="Arial" w:hAnsi="Arial" w:cs="Arial"/>
        </w:rPr>
      </w:pPr>
      <w:proofErr w:type="spellStart"/>
      <w:r>
        <w:rPr>
          <w:rFonts w:ascii="Arial" w:hAnsi="Arial" w:cs="Arial"/>
          <w:i/>
        </w:rPr>
        <w:t>Roumanis</w:t>
      </w:r>
      <w:proofErr w:type="spellEnd"/>
      <w:r>
        <w:rPr>
          <w:rFonts w:ascii="Arial" w:hAnsi="Arial" w:cs="Arial"/>
          <w:i/>
        </w:rPr>
        <w:t xml:space="preserve"> v. Hill, </w:t>
      </w:r>
      <w:r>
        <w:rPr>
          <w:rFonts w:ascii="Arial" w:hAnsi="Arial" w:cs="Arial"/>
        </w:rPr>
        <w:t>2013 BCSC 1047</w:t>
      </w:r>
    </w:p>
    <w:p w:rsidR="006E5624" w:rsidRPr="0040546C" w:rsidRDefault="006E5624" w:rsidP="0040546C">
      <w:pPr>
        <w:pStyle w:val="Default"/>
        <w:jc w:val="both"/>
        <w:rPr>
          <w:rFonts w:ascii="Arial" w:hAnsi="Arial" w:cs="Arial"/>
        </w:rPr>
      </w:pPr>
    </w:p>
    <w:p w:rsidR="0040546C" w:rsidRDefault="0040546C" w:rsidP="0040546C">
      <w:pPr>
        <w:pStyle w:val="Default"/>
        <w:jc w:val="both"/>
        <w:rPr>
          <w:rFonts w:ascii="Arial" w:hAnsi="Arial" w:cs="Arial"/>
          <w:b/>
        </w:rPr>
      </w:pPr>
    </w:p>
    <w:p w:rsidR="0040546C" w:rsidRDefault="0040546C" w:rsidP="00202397">
      <w:pPr>
        <w:pStyle w:val="Default"/>
        <w:numPr>
          <w:ilvl w:val="0"/>
          <w:numId w:val="20"/>
        </w:numPr>
        <w:ind w:hanging="720"/>
        <w:jc w:val="both"/>
        <w:rPr>
          <w:rFonts w:ascii="Arial" w:hAnsi="Arial" w:cs="Arial"/>
          <w:b/>
        </w:rPr>
      </w:pPr>
      <w:r>
        <w:rPr>
          <w:rFonts w:ascii="Arial" w:hAnsi="Arial" w:cs="Arial"/>
          <w:b/>
        </w:rPr>
        <w:t>Mediation</w:t>
      </w:r>
    </w:p>
    <w:p w:rsidR="0040546C" w:rsidRDefault="0040546C" w:rsidP="0040546C">
      <w:pPr>
        <w:pStyle w:val="Default"/>
        <w:jc w:val="both"/>
        <w:rPr>
          <w:rFonts w:ascii="Arial" w:hAnsi="Arial" w:cs="Arial"/>
          <w:b/>
        </w:rPr>
      </w:pPr>
    </w:p>
    <w:p w:rsidR="00937492" w:rsidRDefault="00937492" w:rsidP="0040546C">
      <w:pPr>
        <w:pStyle w:val="Default"/>
        <w:jc w:val="both"/>
        <w:rPr>
          <w:rFonts w:ascii="Arial" w:hAnsi="Arial" w:cs="Arial"/>
        </w:rPr>
      </w:pPr>
      <w:r>
        <w:rPr>
          <w:rFonts w:ascii="Arial" w:hAnsi="Arial" w:cs="Arial"/>
        </w:rPr>
        <w:t xml:space="preserve">A party to personal injury litigation can issue a Notice to Mediate to compel the opposing party to a mediation.  </w:t>
      </w:r>
    </w:p>
    <w:p w:rsidR="00937492" w:rsidRDefault="00937492" w:rsidP="0040546C">
      <w:pPr>
        <w:pStyle w:val="Default"/>
        <w:jc w:val="both"/>
        <w:rPr>
          <w:rFonts w:ascii="Arial" w:hAnsi="Arial" w:cs="Arial"/>
        </w:rPr>
      </w:pPr>
    </w:p>
    <w:p w:rsidR="00937492" w:rsidRPr="00937492" w:rsidRDefault="00937492" w:rsidP="00202397">
      <w:pPr>
        <w:pStyle w:val="Default"/>
        <w:numPr>
          <w:ilvl w:val="0"/>
          <w:numId w:val="14"/>
        </w:numPr>
        <w:jc w:val="both"/>
        <w:rPr>
          <w:rFonts w:ascii="Arial" w:hAnsi="Arial" w:cs="Arial"/>
          <w:i/>
        </w:rPr>
      </w:pPr>
      <w:r>
        <w:rPr>
          <w:rFonts w:ascii="Arial" w:hAnsi="Arial" w:cs="Arial"/>
        </w:rPr>
        <w:t xml:space="preserve">If the plaintiff’s injury claim arises from a motor vehicle collision, the </w:t>
      </w:r>
      <w:hyperlink r:id="rId8" w:history="1">
        <w:r w:rsidRPr="00937492">
          <w:rPr>
            <w:rStyle w:val="Hyperlink"/>
            <w:rFonts w:ascii="Arial" w:hAnsi="Arial" w:cs="Arial"/>
            <w:i/>
          </w:rPr>
          <w:t xml:space="preserve">Notice to Mediate </w:t>
        </w:r>
        <w:r>
          <w:rPr>
            <w:rStyle w:val="Hyperlink"/>
            <w:rFonts w:ascii="Arial" w:hAnsi="Arial" w:cs="Arial"/>
            <w:i/>
          </w:rPr>
          <w:t xml:space="preserve">(Motor Vehicle) </w:t>
        </w:r>
        <w:r w:rsidRPr="00937492">
          <w:rPr>
            <w:rStyle w:val="Hyperlink"/>
            <w:rFonts w:ascii="Arial" w:hAnsi="Arial" w:cs="Arial"/>
            <w:i/>
          </w:rPr>
          <w:t>Regulation</w:t>
        </w:r>
      </w:hyperlink>
      <w:r>
        <w:t xml:space="preserve"> </w:t>
      </w:r>
      <w:r>
        <w:rPr>
          <w:rFonts w:ascii="Arial" w:hAnsi="Arial" w:cs="Arial"/>
        </w:rPr>
        <w:t xml:space="preserve">exists under the authority of the </w:t>
      </w:r>
      <w:r>
        <w:rPr>
          <w:rFonts w:ascii="Arial" w:hAnsi="Arial" w:cs="Arial"/>
          <w:i/>
        </w:rPr>
        <w:t xml:space="preserve">Insurance (Vehicle) Act, </w:t>
      </w:r>
      <w:r>
        <w:rPr>
          <w:rFonts w:ascii="Arial" w:hAnsi="Arial" w:cs="Arial"/>
        </w:rPr>
        <w:t>RSBC 1996, c. 231.</w:t>
      </w:r>
    </w:p>
    <w:p w:rsidR="00937492" w:rsidRDefault="00937492" w:rsidP="0040546C">
      <w:pPr>
        <w:pStyle w:val="Default"/>
        <w:jc w:val="both"/>
        <w:rPr>
          <w:rFonts w:ascii="Arial" w:hAnsi="Arial" w:cs="Arial"/>
          <w:i/>
        </w:rPr>
      </w:pPr>
    </w:p>
    <w:p w:rsidR="00CF5B4E" w:rsidRDefault="00937492" w:rsidP="00202397">
      <w:pPr>
        <w:pStyle w:val="Default"/>
        <w:numPr>
          <w:ilvl w:val="0"/>
          <w:numId w:val="14"/>
        </w:numPr>
        <w:jc w:val="both"/>
        <w:rPr>
          <w:rFonts w:ascii="Arial" w:hAnsi="Arial" w:cs="Arial"/>
        </w:rPr>
      </w:pPr>
      <w:r>
        <w:rPr>
          <w:rFonts w:ascii="Arial" w:hAnsi="Arial" w:cs="Arial"/>
        </w:rPr>
        <w:t xml:space="preserve">If the plaintiff’s injury claim arises from a non-motor vehicle accident, the </w:t>
      </w:r>
      <w:hyperlink r:id="rId9" w:history="1">
        <w:r w:rsidRPr="00937492">
          <w:rPr>
            <w:rStyle w:val="Hyperlink"/>
            <w:rFonts w:ascii="Arial" w:hAnsi="Arial" w:cs="Arial"/>
            <w:i/>
          </w:rPr>
          <w:t>Notice to Mediate (General) Regulation</w:t>
        </w:r>
      </w:hyperlink>
      <w:r>
        <w:t xml:space="preserve"> </w:t>
      </w:r>
      <w:r>
        <w:rPr>
          <w:rFonts w:ascii="Arial" w:hAnsi="Arial" w:cs="Arial"/>
        </w:rPr>
        <w:t xml:space="preserve">exists under the </w:t>
      </w:r>
      <w:r>
        <w:rPr>
          <w:rFonts w:ascii="Arial" w:hAnsi="Arial" w:cs="Arial"/>
          <w:i/>
        </w:rPr>
        <w:t xml:space="preserve">Law and Equity Act, </w:t>
      </w:r>
      <w:r>
        <w:rPr>
          <w:rFonts w:ascii="Arial" w:hAnsi="Arial" w:cs="Arial"/>
        </w:rPr>
        <w:t>RSBC 1996, c. 253.</w:t>
      </w:r>
    </w:p>
    <w:p w:rsidR="004A5B02" w:rsidRDefault="004A5B02" w:rsidP="00202397">
      <w:pPr>
        <w:pStyle w:val="NormalWeb"/>
        <w:numPr>
          <w:ilvl w:val="0"/>
          <w:numId w:val="14"/>
        </w:numPr>
        <w:shd w:val="clear" w:color="auto" w:fill="FFFFFF"/>
        <w:spacing w:before="240" w:beforeAutospacing="0" w:after="240" w:afterAutospacing="0"/>
        <w:rPr>
          <w:rFonts w:ascii="Arial" w:hAnsi="Arial" w:cs="Arial"/>
          <w:color w:val="313132"/>
        </w:rPr>
      </w:pPr>
      <w:r>
        <w:rPr>
          <w:rFonts w:ascii="Arial" w:hAnsi="Arial" w:cs="Arial"/>
          <w:color w:val="313132"/>
        </w:rPr>
        <w:t>Both</w:t>
      </w:r>
      <w:r w:rsidRPr="00937492">
        <w:rPr>
          <w:rFonts w:ascii="Arial" w:hAnsi="Arial" w:cs="Arial"/>
          <w:color w:val="313132"/>
        </w:rPr>
        <w:t xml:space="preserve"> </w:t>
      </w:r>
      <w:r>
        <w:rPr>
          <w:rFonts w:ascii="Arial" w:hAnsi="Arial" w:cs="Arial"/>
          <w:i/>
          <w:color w:val="313132"/>
        </w:rPr>
        <w:t>R</w:t>
      </w:r>
      <w:r w:rsidRPr="004A5B02">
        <w:rPr>
          <w:rFonts w:ascii="Arial" w:hAnsi="Arial" w:cs="Arial"/>
          <w:i/>
          <w:color w:val="313132"/>
        </w:rPr>
        <w:t>egulations</w:t>
      </w:r>
      <w:r>
        <w:rPr>
          <w:rFonts w:ascii="Arial" w:hAnsi="Arial" w:cs="Arial"/>
          <w:color w:val="313132"/>
        </w:rPr>
        <w:t xml:space="preserve"> </w:t>
      </w:r>
      <w:r w:rsidRPr="00937492">
        <w:rPr>
          <w:rFonts w:ascii="Arial" w:hAnsi="Arial" w:cs="Arial"/>
          <w:color w:val="313132"/>
        </w:rPr>
        <w:t xml:space="preserve">promote </w:t>
      </w:r>
      <w:r>
        <w:rPr>
          <w:rFonts w:ascii="Arial" w:hAnsi="Arial" w:cs="Arial"/>
          <w:color w:val="313132"/>
        </w:rPr>
        <w:t>pre-trial</w:t>
      </w:r>
      <w:r w:rsidRPr="00937492">
        <w:rPr>
          <w:rFonts w:ascii="Arial" w:hAnsi="Arial" w:cs="Arial"/>
          <w:color w:val="313132"/>
        </w:rPr>
        <w:t xml:space="preserve"> settlement. </w:t>
      </w:r>
    </w:p>
    <w:p w:rsidR="004A5B02" w:rsidRPr="00937492" w:rsidRDefault="004A5B02" w:rsidP="00202397">
      <w:pPr>
        <w:pStyle w:val="NormalWeb"/>
        <w:numPr>
          <w:ilvl w:val="0"/>
          <w:numId w:val="14"/>
        </w:numPr>
        <w:shd w:val="clear" w:color="auto" w:fill="FFFFFF"/>
        <w:spacing w:before="240" w:beforeAutospacing="0" w:after="240" w:afterAutospacing="0"/>
        <w:rPr>
          <w:rFonts w:ascii="Arial" w:hAnsi="Arial" w:cs="Arial"/>
          <w:color w:val="313132"/>
        </w:rPr>
      </w:pPr>
      <w:r>
        <w:rPr>
          <w:rFonts w:ascii="Arial" w:hAnsi="Arial" w:cs="Arial"/>
          <w:color w:val="313132"/>
        </w:rPr>
        <w:t>A</w:t>
      </w:r>
      <w:r w:rsidRPr="00937492">
        <w:rPr>
          <w:rFonts w:ascii="Arial" w:hAnsi="Arial" w:cs="Arial"/>
          <w:color w:val="313132"/>
        </w:rPr>
        <w:t xml:space="preserve"> Notice to Mediate requires the parties to attend a mediation session</w:t>
      </w:r>
      <w:r>
        <w:rPr>
          <w:rFonts w:ascii="Arial" w:hAnsi="Arial" w:cs="Arial"/>
          <w:color w:val="313132"/>
        </w:rPr>
        <w:t>, but it does</w:t>
      </w:r>
      <w:r w:rsidRPr="00937492">
        <w:rPr>
          <w:rFonts w:ascii="Arial" w:hAnsi="Arial" w:cs="Arial"/>
          <w:color w:val="313132"/>
        </w:rPr>
        <w:t xml:space="preserve"> </w:t>
      </w:r>
      <w:r w:rsidRPr="004A5B02">
        <w:rPr>
          <w:rFonts w:ascii="Arial" w:hAnsi="Arial" w:cs="Arial"/>
          <w:color w:val="313132"/>
          <w:u w:val="single"/>
        </w:rPr>
        <w:t>not</w:t>
      </w:r>
      <w:r w:rsidRPr="00937492">
        <w:rPr>
          <w:rFonts w:ascii="Arial" w:hAnsi="Arial" w:cs="Arial"/>
          <w:color w:val="313132"/>
        </w:rPr>
        <w:t xml:space="preserve"> require them to settle the dispute. </w:t>
      </w:r>
      <w:r>
        <w:rPr>
          <w:rFonts w:ascii="Arial" w:hAnsi="Arial" w:cs="Arial"/>
          <w:color w:val="313132"/>
        </w:rPr>
        <w:t>A party is free to leave the mediation whenever they choose to do so. But they must show up, with the requisite “authority” to settle the dispute.</w:t>
      </w:r>
    </w:p>
    <w:p w:rsidR="00CF5B4E" w:rsidRPr="00F948E6" w:rsidRDefault="00CF5B4E" w:rsidP="00202397">
      <w:pPr>
        <w:pStyle w:val="Default"/>
        <w:numPr>
          <w:ilvl w:val="0"/>
          <w:numId w:val="14"/>
        </w:numPr>
        <w:jc w:val="both"/>
        <w:rPr>
          <w:rFonts w:ascii="Arial" w:hAnsi="Arial" w:cs="Arial"/>
        </w:rPr>
      </w:pPr>
      <w:r>
        <w:rPr>
          <w:rFonts w:ascii="Arial" w:hAnsi="Arial" w:cs="Arial"/>
        </w:rPr>
        <w:t>There are deadlines for service. For example, a Notice to Mediate in motor vehicle accident actions can be served 60 days after pleadings close, and 77 days before the trial date.</w:t>
      </w:r>
    </w:p>
    <w:p w:rsidR="00F948E6" w:rsidRPr="00F948E6" w:rsidRDefault="00CF5B4E" w:rsidP="00202397">
      <w:pPr>
        <w:pStyle w:val="Default"/>
        <w:numPr>
          <w:ilvl w:val="0"/>
          <w:numId w:val="14"/>
        </w:numPr>
        <w:shd w:val="clear" w:color="auto" w:fill="FFFFFF"/>
        <w:spacing w:before="240" w:after="240"/>
        <w:jc w:val="both"/>
        <w:rPr>
          <w:rFonts w:ascii="Arial" w:hAnsi="Arial" w:cs="Arial"/>
          <w:color w:val="313132"/>
        </w:rPr>
      </w:pPr>
      <w:r w:rsidRPr="00F948E6">
        <w:rPr>
          <w:rFonts w:ascii="Arial" w:hAnsi="Arial" w:cs="Arial"/>
        </w:rPr>
        <w:t xml:space="preserve">Within ten days of service, receiving parties must jointly agree on the appointment of a mediator. </w:t>
      </w:r>
      <w:r w:rsidR="00F948E6" w:rsidRPr="00F948E6">
        <w:rPr>
          <w:rFonts w:ascii="Arial" w:hAnsi="Arial" w:cs="Arial"/>
          <w:color w:val="313132"/>
        </w:rPr>
        <w:t>If parties are unable to agree on a mediator within ten days, any party may apply to a roster organization designated by the Justice to appoint the mediator. The </w:t>
      </w:r>
      <w:hyperlink r:id="rId10" w:history="1">
        <w:r w:rsidR="00F948E6" w:rsidRPr="00F948E6">
          <w:rPr>
            <w:rStyle w:val="Hyperlink"/>
            <w:rFonts w:ascii="Arial" w:hAnsi="Arial" w:cs="Arial"/>
            <w:color w:val="1A5A96"/>
          </w:rPr>
          <w:t>Mediate BC Society</w:t>
        </w:r>
      </w:hyperlink>
      <w:r w:rsidR="00F948E6" w:rsidRPr="00F948E6">
        <w:rPr>
          <w:rFonts w:ascii="Arial" w:hAnsi="Arial" w:cs="Arial"/>
          <w:color w:val="313132"/>
        </w:rPr>
        <w:t> is a roster organization for this purpose. The society maintains a list of trained and experienced mediators who have agreed to a code of conduct.</w:t>
      </w:r>
    </w:p>
    <w:p w:rsidR="00F948E6" w:rsidRPr="004A5B02" w:rsidRDefault="00937492" w:rsidP="00202397">
      <w:pPr>
        <w:pStyle w:val="Default"/>
        <w:numPr>
          <w:ilvl w:val="0"/>
          <w:numId w:val="14"/>
        </w:numPr>
        <w:jc w:val="both"/>
        <w:rPr>
          <w:rFonts w:ascii="Arial" w:hAnsi="Arial" w:cs="Arial"/>
        </w:rPr>
      </w:pPr>
      <w:r w:rsidRPr="00F948E6">
        <w:rPr>
          <w:rFonts w:ascii="Arial" w:hAnsi="Arial" w:cs="Arial"/>
          <w:color w:val="313132"/>
        </w:rPr>
        <w:t>Exemptions to the Notice to Mediate process are allowed in certain circumstances. These may include when all parties have already participated in a mediation session in the same dispute or if a judge orders that one or more parties are exempt from attending the mediation.</w:t>
      </w:r>
    </w:p>
    <w:p w:rsidR="004A5B02" w:rsidRPr="004A5B02" w:rsidRDefault="004A5B02" w:rsidP="004A5B02">
      <w:pPr>
        <w:pStyle w:val="Default"/>
        <w:ind w:left="720"/>
        <w:jc w:val="both"/>
        <w:rPr>
          <w:rFonts w:ascii="Arial" w:hAnsi="Arial" w:cs="Arial"/>
        </w:rPr>
      </w:pPr>
    </w:p>
    <w:p w:rsidR="00F948E6" w:rsidRDefault="00F948E6" w:rsidP="00202397">
      <w:pPr>
        <w:pStyle w:val="Default"/>
        <w:numPr>
          <w:ilvl w:val="0"/>
          <w:numId w:val="14"/>
        </w:numPr>
        <w:jc w:val="both"/>
        <w:rPr>
          <w:rFonts w:ascii="Arial" w:hAnsi="Arial" w:cs="Arial"/>
        </w:rPr>
      </w:pPr>
      <w:r>
        <w:rPr>
          <w:rFonts w:ascii="Arial" w:hAnsi="Arial" w:cs="Arial"/>
        </w:rPr>
        <w:t xml:space="preserve">Sexual and physical abuse claims are exempted from the </w:t>
      </w:r>
      <w:r w:rsidRPr="00485E96">
        <w:rPr>
          <w:rFonts w:ascii="Arial" w:hAnsi="Arial" w:cs="Arial"/>
          <w:i/>
        </w:rPr>
        <w:t>Notice to Mediate Regulation</w:t>
      </w:r>
      <w:r>
        <w:rPr>
          <w:rFonts w:ascii="Arial" w:hAnsi="Arial" w:cs="Arial"/>
        </w:rPr>
        <w:t>, s. 2(c).</w:t>
      </w:r>
    </w:p>
    <w:p w:rsidR="00F948E6" w:rsidRDefault="00F948E6" w:rsidP="00F948E6">
      <w:pPr>
        <w:pStyle w:val="ListParagraph"/>
        <w:rPr>
          <w:rFonts w:ascii="Arial" w:hAnsi="Arial" w:cs="Arial"/>
        </w:rPr>
      </w:pPr>
    </w:p>
    <w:p w:rsidR="00937492" w:rsidRPr="00F948E6" w:rsidRDefault="00937492" w:rsidP="00202397">
      <w:pPr>
        <w:pStyle w:val="Default"/>
        <w:numPr>
          <w:ilvl w:val="0"/>
          <w:numId w:val="14"/>
        </w:numPr>
        <w:jc w:val="both"/>
        <w:rPr>
          <w:rFonts w:ascii="Arial" w:hAnsi="Arial" w:cs="Arial"/>
        </w:rPr>
      </w:pPr>
      <w:r w:rsidRPr="00F948E6">
        <w:rPr>
          <w:rFonts w:ascii="Arial" w:hAnsi="Arial" w:cs="Arial"/>
          <w:color w:val="313132"/>
        </w:rPr>
        <w:t xml:space="preserve">If the extent of injuries are not known or injuries have not stabilized or the damage is not yet known, mediation </w:t>
      </w:r>
      <w:r w:rsidR="00F948E6">
        <w:rPr>
          <w:rFonts w:ascii="Arial" w:hAnsi="Arial" w:cs="Arial"/>
          <w:color w:val="313132"/>
        </w:rPr>
        <w:t xml:space="preserve">is unlikely to be successful.  </w:t>
      </w:r>
      <w:r w:rsidRPr="00F948E6">
        <w:rPr>
          <w:rFonts w:ascii="Arial" w:hAnsi="Arial" w:cs="Arial"/>
          <w:color w:val="313132"/>
        </w:rPr>
        <w:t xml:space="preserve">This is critical when deciding whether and when to use </w:t>
      </w:r>
      <w:r w:rsidR="00F948E6">
        <w:rPr>
          <w:rFonts w:ascii="Arial" w:hAnsi="Arial" w:cs="Arial"/>
          <w:color w:val="313132"/>
        </w:rPr>
        <w:t>a</w:t>
      </w:r>
      <w:r w:rsidRPr="00F948E6">
        <w:rPr>
          <w:rFonts w:ascii="Arial" w:hAnsi="Arial" w:cs="Arial"/>
          <w:color w:val="313132"/>
        </w:rPr>
        <w:t xml:space="preserve"> Notice to Mediate.</w:t>
      </w:r>
    </w:p>
    <w:p w:rsidR="00F948E6" w:rsidRDefault="00F948E6" w:rsidP="00F948E6">
      <w:pPr>
        <w:pStyle w:val="ListParagraph"/>
        <w:rPr>
          <w:rFonts w:ascii="Arial" w:hAnsi="Arial" w:cs="Arial"/>
        </w:rPr>
      </w:pPr>
    </w:p>
    <w:p w:rsidR="00937492" w:rsidRPr="00485E96" w:rsidRDefault="00F948E6" w:rsidP="00202397">
      <w:pPr>
        <w:pStyle w:val="Default"/>
        <w:numPr>
          <w:ilvl w:val="0"/>
          <w:numId w:val="14"/>
        </w:numPr>
        <w:jc w:val="both"/>
        <w:rPr>
          <w:rFonts w:ascii="Arial" w:hAnsi="Arial" w:cs="Arial"/>
        </w:rPr>
      </w:pPr>
      <w:r>
        <w:rPr>
          <w:rFonts w:ascii="Arial" w:hAnsi="Arial" w:cs="Arial"/>
        </w:rPr>
        <w:t xml:space="preserve">The </w:t>
      </w:r>
      <w:r w:rsidR="00937492" w:rsidRPr="00F948E6">
        <w:rPr>
          <w:rFonts w:ascii="Arial" w:hAnsi="Arial" w:cs="Arial"/>
          <w:color w:val="313132"/>
        </w:rPr>
        <w:t xml:space="preserve">court has the power to </w:t>
      </w:r>
      <w:r>
        <w:rPr>
          <w:rFonts w:ascii="Arial" w:hAnsi="Arial" w:cs="Arial"/>
          <w:color w:val="313132"/>
        </w:rPr>
        <w:t>adjourn a mediation</w:t>
      </w:r>
      <w:r w:rsidR="00937492" w:rsidRPr="00F948E6">
        <w:rPr>
          <w:rFonts w:ascii="Arial" w:hAnsi="Arial" w:cs="Arial"/>
          <w:color w:val="313132"/>
        </w:rPr>
        <w:t xml:space="preserve"> on terms and con</w:t>
      </w:r>
      <w:r w:rsidR="00485E96">
        <w:rPr>
          <w:rFonts w:ascii="Arial" w:hAnsi="Arial" w:cs="Arial"/>
          <w:color w:val="313132"/>
        </w:rPr>
        <w:t>ditions it considers appropriate, on the application of a party</w:t>
      </w:r>
      <w:r w:rsidR="00937492" w:rsidRPr="00F948E6">
        <w:rPr>
          <w:rFonts w:ascii="Arial" w:hAnsi="Arial" w:cs="Arial"/>
          <w:color w:val="313132"/>
        </w:rPr>
        <w:t>.</w:t>
      </w:r>
    </w:p>
    <w:p w:rsidR="00485E96" w:rsidRDefault="00485E96" w:rsidP="00485E96">
      <w:pPr>
        <w:pStyle w:val="ListParagraph"/>
        <w:rPr>
          <w:rFonts w:ascii="Arial" w:hAnsi="Arial" w:cs="Arial"/>
        </w:rPr>
      </w:pPr>
    </w:p>
    <w:p w:rsidR="00485E96" w:rsidRDefault="00485E96" w:rsidP="00202397">
      <w:pPr>
        <w:pStyle w:val="Default"/>
        <w:numPr>
          <w:ilvl w:val="0"/>
          <w:numId w:val="14"/>
        </w:numPr>
        <w:jc w:val="both"/>
        <w:rPr>
          <w:rFonts w:ascii="Arial" w:hAnsi="Arial" w:cs="Arial"/>
        </w:rPr>
      </w:pPr>
      <w:r>
        <w:rPr>
          <w:rFonts w:ascii="Arial" w:hAnsi="Arial" w:cs="Arial"/>
        </w:rPr>
        <w:t xml:space="preserve">If a party fails to comply with the </w:t>
      </w:r>
      <w:r>
        <w:rPr>
          <w:rFonts w:ascii="Arial" w:hAnsi="Arial" w:cs="Arial"/>
          <w:i/>
        </w:rPr>
        <w:t>Notice to mediate,</w:t>
      </w:r>
      <w:r>
        <w:rPr>
          <w:rFonts w:ascii="Arial" w:hAnsi="Arial" w:cs="Arial"/>
        </w:rPr>
        <w:t xml:space="preserve"> any other party may file a Declaration of Default with the court.</w:t>
      </w:r>
    </w:p>
    <w:p w:rsidR="00485E96" w:rsidRDefault="00485E96" w:rsidP="00485E96">
      <w:pPr>
        <w:pStyle w:val="ListParagraph"/>
        <w:rPr>
          <w:rFonts w:ascii="Arial" w:hAnsi="Arial" w:cs="Arial"/>
        </w:rPr>
      </w:pPr>
    </w:p>
    <w:p w:rsidR="00485E96" w:rsidRDefault="00485E96" w:rsidP="00202397">
      <w:pPr>
        <w:pStyle w:val="Default"/>
        <w:numPr>
          <w:ilvl w:val="0"/>
          <w:numId w:val="14"/>
        </w:numPr>
        <w:jc w:val="both"/>
        <w:rPr>
          <w:rFonts w:ascii="Arial" w:hAnsi="Arial" w:cs="Arial"/>
        </w:rPr>
      </w:pPr>
      <w:r>
        <w:rPr>
          <w:rFonts w:ascii="Arial" w:hAnsi="Arial" w:cs="Arial"/>
        </w:rPr>
        <w:t xml:space="preserve">If this happens, the court has the ability to make various orders, including (possibly) dismissing the action, or staying the action until the defaulting party attends mediation, or making an order for costs. </w:t>
      </w:r>
    </w:p>
    <w:p w:rsidR="00485E96" w:rsidRDefault="00485E96" w:rsidP="00485E96">
      <w:pPr>
        <w:pStyle w:val="ListParagraph"/>
        <w:rPr>
          <w:rFonts w:ascii="Arial" w:hAnsi="Arial" w:cs="Arial"/>
        </w:rPr>
      </w:pPr>
    </w:p>
    <w:p w:rsidR="004A5B02" w:rsidRDefault="00485E96" w:rsidP="00202397">
      <w:pPr>
        <w:pStyle w:val="Default"/>
        <w:numPr>
          <w:ilvl w:val="0"/>
          <w:numId w:val="14"/>
        </w:numPr>
        <w:jc w:val="both"/>
        <w:rPr>
          <w:rFonts w:ascii="Arial" w:hAnsi="Arial" w:cs="Arial"/>
        </w:rPr>
      </w:pPr>
      <w:r>
        <w:rPr>
          <w:rFonts w:ascii="Arial" w:hAnsi="Arial" w:cs="Arial"/>
        </w:rPr>
        <w:t xml:space="preserve">We filed a Declaration of Default against the defendant Dr. Anna </w:t>
      </w:r>
      <w:proofErr w:type="spellStart"/>
      <w:r>
        <w:rPr>
          <w:rFonts w:ascii="Arial" w:hAnsi="Arial" w:cs="Arial"/>
        </w:rPr>
        <w:t>Nazif</w:t>
      </w:r>
      <w:proofErr w:type="spellEnd"/>
      <w:r>
        <w:rPr>
          <w:rFonts w:ascii="Arial" w:hAnsi="Arial" w:cs="Arial"/>
        </w:rPr>
        <w:t xml:space="preserve"> (represented by the CMPA) for failing to attend mediation in the </w:t>
      </w:r>
      <w:r>
        <w:rPr>
          <w:rFonts w:ascii="Arial" w:hAnsi="Arial" w:cs="Arial"/>
          <w:i/>
        </w:rPr>
        <w:t>Crawford</w:t>
      </w:r>
      <w:r>
        <w:rPr>
          <w:rFonts w:ascii="Arial" w:hAnsi="Arial" w:cs="Arial"/>
        </w:rPr>
        <w:t xml:space="preserve"> matter.  </w:t>
      </w:r>
    </w:p>
    <w:p w:rsidR="004A5B02" w:rsidRDefault="004A5B02" w:rsidP="004A5B02">
      <w:pPr>
        <w:pStyle w:val="ListParagraph"/>
        <w:rPr>
          <w:rFonts w:ascii="Arial" w:hAnsi="Arial" w:cs="Arial"/>
        </w:rPr>
      </w:pPr>
    </w:p>
    <w:p w:rsidR="004A5B02" w:rsidRDefault="00485E96" w:rsidP="00202397">
      <w:pPr>
        <w:pStyle w:val="Default"/>
        <w:numPr>
          <w:ilvl w:val="1"/>
          <w:numId w:val="14"/>
        </w:numPr>
        <w:spacing w:after="240"/>
        <w:jc w:val="both"/>
        <w:rPr>
          <w:rFonts w:ascii="Arial" w:hAnsi="Arial" w:cs="Arial"/>
        </w:rPr>
      </w:pPr>
      <w:r>
        <w:rPr>
          <w:rFonts w:ascii="Arial" w:hAnsi="Arial" w:cs="Arial"/>
        </w:rPr>
        <w:t xml:space="preserve">On the hearing of the plaintiff’s application, Mr. Justice </w:t>
      </w:r>
      <w:proofErr w:type="spellStart"/>
      <w:r>
        <w:rPr>
          <w:rFonts w:ascii="Arial" w:hAnsi="Arial" w:cs="Arial"/>
        </w:rPr>
        <w:t>Crossin</w:t>
      </w:r>
      <w:proofErr w:type="spellEnd"/>
      <w:r>
        <w:rPr>
          <w:rFonts w:ascii="Arial" w:hAnsi="Arial" w:cs="Arial"/>
        </w:rPr>
        <w:t xml:space="preserve"> found Dr. </w:t>
      </w:r>
      <w:proofErr w:type="spellStart"/>
      <w:r>
        <w:rPr>
          <w:rFonts w:ascii="Arial" w:hAnsi="Arial" w:cs="Arial"/>
        </w:rPr>
        <w:t>Nazif</w:t>
      </w:r>
      <w:proofErr w:type="spellEnd"/>
      <w:r>
        <w:rPr>
          <w:rFonts w:ascii="Arial" w:hAnsi="Arial" w:cs="Arial"/>
        </w:rPr>
        <w:t xml:space="preserve"> in default, and ordered that she (the CMPA) pay the plaintiff’s mediation costs.</w:t>
      </w:r>
      <w:r w:rsidR="004A5B02">
        <w:rPr>
          <w:rFonts w:ascii="Arial" w:hAnsi="Arial" w:cs="Arial"/>
        </w:rPr>
        <w:t xml:space="preserve"> </w:t>
      </w:r>
    </w:p>
    <w:p w:rsidR="00485E96" w:rsidRPr="00F948E6" w:rsidRDefault="004A5B02" w:rsidP="00202397">
      <w:pPr>
        <w:pStyle w:val="Default"/>
        <w:numPr>
          <w:ilvl w:val="1"/>
          <w:numId w:val="14"/>
        </w:numPr>
        <w:jc w:val="both"/>
        <w:rPr>
          <w:rFonts w:ascii="Arial" w:hAnsi="Arial" w:cs="Arial"/>
        </w:rPr>
      </w:pPr>
      <w:r>
        <w:rPr>
          <w:rFonts w:ascii="Arial" w:hAnsi="Arial" w:cs="Arial"/>
          <w:i/>
        </w:rPr>
        <w:t xml:space="preserve">Let’s look at the parties’ application materials and the unreported Oral Reasons (posted to the </w:t>
      </w:r>
      <w:proofErr w:type="spellStart"/>
      <w:r>
        <w:rPr>
          <w:rFonts w:ascii="Arial" w:hAnsi="Arial" w:cs="Arial"/>
          <w:i/>
        </w:rPr>
        <w:t>KazLaw</w:t>
      </w:r>
      <w:proofErr w:type="spellEnd"/>
      <w:r>
        <w:rPr>
          <w:rFonts w:ascii="Arial" w:hAnsi="Arial" w:cs="Arial"/>
          <w:i/>
        </w:rPr>
        <w:t xml:space="preserve"> website).</w:t>
      </w:r>
    </w:p>
    <w:p w:rsidR="00937492" w:rsidRDefault="00937492" w:rsidP="0040546C">
      <w:pPr>
        <w:pStyle w:val="Default"/>
        <w:jc w:val="both"/>
        <w:rPr>
          <w:rFonts w:ascii="Arial" w:hAnsi="Arial" w:cs="Arial"/>
          <w:b/>
        </w:rPr>
      </w:pPr>
    </w:p>
    <w:p w:rsidR="0040546C" w:rsidRDefault="0040546C" w:rsidP="00202397">
      <w:pPr>
        <w:pStyle w:val="Default"/>
        <w:numPr>
          <w:ilvl w:val="0"/>
          <w:numId w:val="20"/>
        </w:numPr>
        <w:ind w:hanging="720"/>
        <w:jc w:val="both"/>
        <w:rPr>
          <w:rFonts w:ascii="Arial" w:hAnsi="Arial" w:cs="Arial"/>
          <w:b/>
        </w:rPr>
      </w:pPr>
      <w:bookmarkStart w:id="0" w:name="section16"/>
      <w:bookmarkEnd w:id="0"/>
      <w:r>
        <w:rPr>
          <w:rFonts w:ascii="Arial" w:hAnsi="Arial" w:cs="Arial"/>
          <w:b/>
        </w:rPr>
        <w:t>Settlement Agreements</w:t>
      </w:r>
      <w:r w:rsidR="0024625E">
        <w:rPr>
          <w:rFonts w:ascii="Arial" w:hAnsi="Arial" w:cs="Arial"/>
          <w:b/>
        </w:rPr>
        <w:t xml:space="preserve"> generally</w:t>
      </w:r>
    </w:p>
    <w:p w:rsidR="0040546C" w:rsidRDefault="0040546C" w:rsidP="0040546C">
      <w:pPr>
        <w:pStyle w:val="Default"/>
        <w:ind w:left="810"/>
        <w:jc w:val="both"/>
        <w:rPr>
          <w:rFonts w:ascii="Arial" w:hAnsi="Arial" w:cs="Arial"/>
          <w:b/>
        </w:rPr>
      </w:pPr>
    </w:p>
    <w:p w:rsidR="006B4189" w:rsidRPr="006B4189" w:rsidRDefault="00026E43" w:rsidP="00202397">
      <w:pPr>
        <w:pStyle w:val="ListParagraph"/>
        <w:numPr>
          <w:ilvl w:val="0"/>
          <w:numId w:val="15"/>
        </w:numPr>
        <w:contextualSpacing w:val="0"/>
        <w:jc w:val="both"/>
        <w:rPr>
          <w:rFonts w:ascii="Arial" w:hAnsi="Arial" w:cs="Arial"/>
          <w:sz w:val="24"/>
          <w:szCs w:val="24"/>
        </w:rPr>
      </w:pPr>
      <w:r w:rsidRPr="006B4189">
        <w:rPr>
          <w:rFonts w:ascii="Arial" w:hAnsi="Arial" w:cs="Arial"/>
          <w:sz w:val="24"/>
          <w:szCs w:val="24"/>
        </w:rPr>
        <w:t>It is important to ensure an effect</w:t>
      </w:r>
      <w:r w:rsidR="00E8764A" w:rsidRPr="006B4189">
        <w:rPr>
          <w:rFonts w:ascii="Arial" w:hAnsi="Arial" w:cs="Arial"/>
          <w:sz w:val="24"/>
          <w:szCs w:val="24"/>
        </w:rPr>
        <w:t>ive settlement agreement is reached</w:t>
      </w:r>
      <w:r w:rsidRPr="006B4189">
        <w:rPr>
          <w:rFonts w:ascii="Arial" w:hAnsi="Arial" w:cs="Arial"/>
          <w:sz w:val="24"/>
          <w:szCs w:val="24"/>
        </w:rPr>
        <w:t xml:space="preserve"> and </w:t>
      </w:r>
      <w:r w:rsidR="003E2734" w:rsidRPr="006B4189">
        <w:rPr>
          <w:rFonts w:ascii="Arial" w:hAnsi="Arial" w:cs="Arial"/>
          <w:sz w:val="24"/>
          <w:szCs w:val="24"/>
        </w:rPr>
        <w:t>that all parties and lawyers understand the consequences of the agreement</w:t>
      </w:r>
      <w:r w:rsidRPr="006B4189">
        <w:rPr>
          <w:rFonts w:ascii="Arial" w:hAnsi="Arial" w:cs="Arial"/>
          <w:sz w:val="24"/>
          <w:szCs w:val="24"/>
        </w:rPr>
        <w:t xml:space="preserve">. </w:t>
      </w:r>
    </w:p>
    <w:p w:rsidR="00FE5E1E" w:rsidRPr="006B4189" w:rsidRDefault="00FE5E1E" w:rsidP="00202397">
      <w:pPr>
        <w:pStyle w:val="ListParagraph"/>
        <w:numPr>
          <w:ilvl w:val="0"/>
          <w:numId w:val="15"/>
        </w:numPr>
        <w:contextualSpacing w:val="0"/>
        <w:jc w:val="both"/>
        <w:rPr>
          <w:rFonts w:ascii="Arial" w:hAnsi="Arial" w:cs="Arial"/>
          <w:sz w:val="24"/>
          <w:szCs w:val="24"/>
        </w:rPr>
      </w:pPr>
      <w:r w:rsidRPr="006B4189">
        <w:rPr>
          <w:rFonts w:ascii="Arial" w:hAnsi="Arial" w:cs="Arial"/>
          <w:sz w:val="24"/>
          <w:szCs w:val="24"/>
        </w:rPr>
        <w:t>The terms of a settlement agreement must be given sufficient thought. An inadequate settlement agreement may give rise to numerous issues, for example:</w:t>
      </w:r>
    </w:p>
    <w:p w:rsidR="00FE5E1E" w:rsidRDefault="00FE5E1E" w:rsidP="00202397">
      <w:pPr>
        <w:pStyle w:val="ListParagraph"/>
        <w:numPr>
          <w:ilvl w:val="0"/>
          <w:numId w:val="16"/>
        </w:numPr>
        <w:contextualSpacing w:val="0"/>
        <w:jc w:val="both"/>
        <w:rPr>
          <w:rFonts w:ascii="Arial" w:hAnsi="Arial" w:cs="Arial"/>
          <w:sz w:val="24"/>
          <w:szCs w:val="24"/>
        </w:rPr>
      </w:pPr>
      <w:r>
        <w:rPr>
          <w:rFonts w:ascii="Arial" w:hAnsi="Arial" w:cs="Arial"/>
          <w:sz w:val="24"/>
          <w:szCs w:val="24"/>
        </w:rPr>
        <w:t xml:space="preserve">Was an agreement </w:t>
      </w:r>
      <w:r w:rsidR="006B4189">
        <w:rPr>
          <w:rFonts w:ascii="Arial" w:hAnsi="Arial" w:cs="Arial"/>
          <w:sz w:val="24"/>
          <w:szCs w:val="24"/>
        </w:rPr>
        <w:t>reached on all terms</w:t>
      </w:r>
      <w:r>
        <w:rPr>
          <w:rFonts w:ascii="Arial" w:hAnsi="Arial" w:cs="Arial"/>
          <w:sz w:val="24"/>
          <w:szCs w:val="24"/>
        </w:rPr>
        <w:t>?</w:t>
      </w:r>
    </w:p>
    <w:p w:rsidR="00FE5E1E" w:rsidRDefault="00FE5E1E" w:rsidP="00202397">
      <w:pPr>
        <w:pStyle w:val="ListParagraph"/>
        <w:numPr>
          <w:ilvl w:val="0"/>
          <w:numId w:val="16"/>
        </w:numPr>
        <w:contextualSpacing w:val="0"/>
        <w:jc w:val="both"/>
        <w:rPr>
          <w:rFonts w:ascii="Arial" w:hAnsi="Arial" w:cs="Arial"/>
          <w:sz w:val="24"/>
          <w:szCs w:val="24"/>
        </w:rPr>
      </w:pPr>
      <w:r>
        <w:rPr>
          <w:rFonts w:ascii="Arial" w:hAnsi="Arial" w:cs="Arial"/>
          <w:sz w:val="24"/>
          <w:szCs w:val="24"/>
        </w:rPr>
        <w:t>Is it enforceable?</w:t>
      </w:r>
    </w:p>
    <w:p w:rsidR="00FE5E1E" w:rsidRDefault="00FE5E1E" w:rsidP="00202397">
      <w:pPr>
        <w:pStyle w:val="ListParagraph"/>
        <w:numPr>
          <w:ilvl w:val="0"/>
          <w:numId w:val="16"/>
        </w:numPr>
        <w:contextualSpacing w:val="0"/>
        <w:jc w:val="both"/>
        <w:rPr>
          <w:rFonts w:ascii="Arial" w:hAnsi="Arial" w:cs="Arial"/>
          <w:sz w:val="24"/>
          <w:szCs w:val="24"/>
        </w:rPr>
      </w:pPr>
      <w:r>
        <w:rPr>
          <w:rFonts w:ascii="Arial" w:hAnsi="Arial" w:cs="Arial"/>
          <w:sz w:val="24"/>
          <w:szCs w:val="24"/>
        </w:rPr>
        <w:t>What parties are bound?</w:t>
      </w:r>
    </w:p>
    <w:p w:rsidR="006B4189" w:rsidRDefault="006B4189" w:rsidP="00202397">
      <w:pPr>
        <w:pStyle w:val="ListParagraph"/>
        <w:numPr>
          <w:ilvl w:val="0"/>
          <w:numId w:val="2"/>
        </w:numPr>
        <w:ind w:left="720"/>
        <w:contextualSpacing w:val="0"/>
        <w:jc w:val="both"/>
        <w:rPr>
          <w:rFonts w:ascii="Arial" w:hAnsi="Arial" w:cs="Arial"/>
          <w:sz w:val="24"/>
          <w:szCs w:val="24"/>
        </w:rPr>
      </w:pPr>
      <w:r>
        <w:rPr>
          <w:rFonts w:ascii="Arial" w:hAnsi="Arial" w:cs="Arial"/>
          <w:sz w:val="24"/>
          <w:szCs w:val="24"/>
        </w:rPr>
        <w:t xml:space="preserve">Many parties experience “settler’s remorse” after a mediation, because, as is commonly said, a mediation is successful when all parties walk away from the table a little bit unhappy.  </w:t>
      </w:r>
    </w:p>
    <w:p w:rsidR="006B4189" w:rsidRDefault="006B4189" w:rsidP="00202397">
      <w:pPr>
        <w:pStyle w:val="ListParagraph"/>
        <w:numPr>
          <w:ilvl w:val="0"/>
          <w:numId w:val="2"/>
        </w:numPr>
        <w:ind w:left="720"/>
        <w:contextualSpacing w:val="0"/>
        <w:jc w:val="both"/>
        <w:rPr>
          <w:rFonts w:ascii="Arial" w:hAnsi="Arial" w:cs="Arial"/>
          <w:sz w:val="24"/>
          <w:szCs w:val="24"/>
        </w:rPr>
      </w:pPr>
      <w:r>
        <w:rPr>
          <w:rFonts w:ascii="Arial" w:hAnsi="Arial" w:cs="Arial"/>
          <w:sz w:val="24"/>
          <w:szCs w:val="24"/>
        </w:rPr>
        <w:t xml:space="preserve">But if this happens, can a client simply walk away?  </w:t>
      </w:r>
    </w:p>
    <w:p w:rsidR="006B4189" w:rsidRDefault="006B4189" w:rsidP="00202397">
      <w:pPr>
        <w:pStyle w:val="ListParagraph"/>
        <w:numPr>
          <w:ilvl w:val="0"/>
          <w:numId w:val="2"/>
        </w:numPr>
        <w:ind w:left="720"/>
        <w:contextualSpacing w:val="0"/>
        <w:jc w:val="both"/>
        <w:rPr>
          <w:rFonts w:ascii="Arial" w:hAnsi="Arial" w:cs="Arial"/>
          <w:sz w:val="24"/>
          <w:szCs w:val="24"/>
        </w:rPr>
      </w:pPr>
      <w:r w:rsidRPr="006B4189">
        <w:rPr>
          <w:rFonts w:ascii="Arial" w:hAnsi="Arial" w:cs="Arial"/>
          <w:sz w:val="24"/>
          <w:szCs w:val="24"/>
        </w:rPr>
        <w:t xml:space="preserve">A settlement agreement is a contract.  Any contract is enforceable. </w:t>
      </w:r>
    </w:p>
    <w:p w:rsidR="006B4189" w:rsidRPr="006B4189" w:rsidRDefault="00772B74" w:rsidP="00202397">
      <w:pPr>
        <w:pStyle w:val="ListParagraph"/>
        <w:numPr>
          <w:ilvl w:val="0"/>
          <w:numId w:val="2"/>
        </w:numPr>
        <w:ind w:left="720"/>
        <w:contextualSpacing w:val="0"/>
        <w:jc w:val="both"/>
        <w:rPr>
          <w:rFonts w:ascii="Arial" w:hAnsi="Arial" w:cs="Arial"/>
          <w:sz w:val="24"/>
          <w:szCs w:val="24"/>
        </w:rPr>
      </w:pPr>
      <w:r>
        <w:rPr>
          <w:rFonts w:ascii="Arial" w:hAnsi="Arial" w:cs="Arial"/>
          <w:sz w:val="24"/>
          <w:szCs w:val="24"/>
        </w:rPr>
        <w:t xml:space="preserve">In </w:t>
      </w:r>
      <w:proofErr w:type="spellStart"/>
      <w:r>
        <w:rPr>
          <w:rFonts w:ascii="Arial" w:hAnsi="Arial" w:cs="Arial"/>
          <w:i/>
          <w:sz w:val="24"/>
          <w:szCs w:val="24"/>
        </w:rPr>
        <w:t>Roumanis</w:t>
      </w:r>
      <w:proofErr w:type="spellEnd"/>
      <w:r>
        <w:rPr>
          <w:rFonts w:ascii="Arial" w:hAnsi="Arial" w:cs="Arial"/>
          <w:i/>
          <w:sz w:val="24"/>
          <w:szCs w:val="24"/>
        </w:rPr>
        <w:t xml:space="preserve"> v. Hill, </w:t>
      </w:r>
      <w:r>
        <w:rPr>
          <w:rFonts w:ascii="Arial" w:hAnsi="Arial" w:cs="Arial"/>
          <w:sz w:val="24"/>
          <w:szCs w:val="24"/>
        </w:rPr>
        <w:t>2013 BCSC 1047, the plaintiff changed her mind after a settlement offer was accepted by her lawyer, on her instructions. The court enforced the settlement, finding that the court had no discretion to refuse to enforce a binding settlement made on the instructions of the client. The court must give effect to a valid contract.</w:t>
      </w:r>
    </w:p>
    <w:p w:rsidR="00FC3E68" w:rsidRPr="00536F24" w:rsidRDefault="00FC3E68" w:rsidP="00202397">
      <w:pPr>
        <w:pStyle w:val="ListParagraph"/>
        <w:numPr>
          <w:ilvl w:val="0"/>
          <w:numId w:val="20"/>
        </w:numPr>
        <w:spacing w:before="240" w:after="240"/>
        <w:ind w:hanging="720"/>
        <w:contextualSpacing w:val="0"/>
        <w:jc w:val="both"/>
        <w:rPr>
          <w:rFonts w:ascii="Arial" w:hAnsi="Arial" w:cs="Arial"/>
          <w:b/>
          <w:sz w:val="24"/>
          <w:szCs w:val="24"/>
        </w:rPr>
      </w:pPr>
      <w:r w:rsidRPr="00536F24">
        <w:rPr>
          <w:rFonts w:ascii="Arial" w:hAnsi="Arial" w:cs="Arial"/>
          <w:b/>
          <w:sz w:val="24"/>
          <w:szCs w:val="24"/>
        </w:rPr>
        <w:t>Terms of a Settlement Agreement</w:t>
      </w:r>
    </w:p>
    <w:p w:rsidR="00E8764A" w:rsidRPr="00536F24" w:rsidRDefault="00FE5E1E" w:rsidP="00202397">
      <w:pPr>
        <w:pStyle w:val="ListParagraph"/>
        <w:numPr>
          <w:ilvl w:val="0"/>
          <w:numId w:val="12"/>
        </w:numPr>
        <w:jc w:val="both"/>
        <w:rPr>
          <w:rFonts w:ascii="Arial" w:hAnsi="Arial" w:cs="Arial"/>
          <w:sz w:val="24"/>
          <w:szCs w:val="24"/>
        </w:rPr>
      </w:pPr>
      <w:r w:rsidRPr="00536F24">
        <w:rPr>
          <w:rFonts w:ascii="Arial" w:hAnsi="Arial" w:cs="Arial"/>
          <w:sz w:val="24"/>
          <w:szCs w:val="24"/>
        </w:rPr>
        <w:t xml:space="preserve">In </w:t>
      </w:r>
      <w:proofErr w:type="spellStart"/>
      <w:r w:rsidRPr="00536F24">
        <w:rPr>
          <w:rFonts w:ascii="Arial" w:hAnsi="Arial" w:cs="Arial"/>
          <w:i/>
          <w:sz w:val="24"/>
          <w:szCs w:val="24"/>
        </w:rPr>
        <w:t>Fieguth</w:t>
      </w:r>
      <w:proofErr w:type="spellEnd"/>
      <w:r w:rsidRPr="00536F24">
        <w:rPr>
          <w:rFonts w:ascii="Arial" w:hAnsi="Arial" w:cs="Arial"/>
          <w:i/>
          <w:sz w:val="24"/>
          <w:szCs w:val="24"/>
        </w:rPr>
        <w:t xml:space="preserve"> v. </w:t>
      </w:r>
      <w:proofErr w:type="spellStart"/>
      <w:r w:rsidRPr="00536F24">
        <w:rPr>
          <w:rFonts w:ascii="Arial" w:hAnsi="Arial" w:cs="Arial"/>
          <w:i/>
          <w:sz w:val="24"/>
          <w:szCs w:val="24"/>
        </w:rPr>
        <w:t>Acklands</w:t>
      </w:r>
      <w:proofErr w:type="spellEnd"/>
      <w:r w:rsidRPr="00536F24">
        <w:rPr>
          <w:rFonts w:ascii="Arial" w:hAnsi="Arial" w:cs="Arial"/>
          <w:i/>
          <w:sz w:val="24"/>
          <w:szCs w:val="24"/>
        </w:rPr>
        <w:t xml:space="preserve"> Ltd. </w:t>
      </w:r>
      <w:r w:rsidRPr="00536F24">
        <w:rPr>
          <w:rFonts w:ascii="Arial" w:hAnsi="Arial" w:cs="Arial"/>
          <w:sz w:val="24"/>
          <w:szCs w:val="24"/>
        </w:rPr>
        <w:t xml:space="preserve">(1989), 37 B.C.L.R. (2d) 62 (C.A.), </w:t>
      </w:r>
      <w:proofErr w:type="spellStart"/>
      <w:r w:rsidRPr="00536F24">
        <w:rPr>
          <w:rFonts w:ascii="Arial" w:hAnsi="Arial" w:cs="Arial"/>
          <w:sz w:val="24"/>
          <w:szCs w:val="24"/>
        </w:rPr>
        <w:t>McEachern</w:t>
      </w:r>
      <w:proofErr w:type="spellEnd"/>
      <w:r w:rsidRPr="00536F24">
        <w:rPr>
          <w:rFonts w:ascii="Arial" w:hAnsi="Arial" w:cs="Arial"/>
          <w:sz w:val="24"/>
          <w:szCs w:val="24"/>
        </w:rPr>
        <w:t xml:space="preserve"> C.J. provided an overview of relevant principles regarding the formation and enforcement of settlement agreements. These principles were later summarized in</w:t>
      </w:r>
      <w:r w:rsidRPr="00536F24">
        <w:rPr>
          <w:rFonts w:ascii="Arial" w:hAnsi="Arial" w:cs="Arial"/>
          <w:i/>
          <w:sz w:val="24"/>
          <w:szCs w:val="24"/>
        </w:rPr>
        <w:t xml:space="preserve"> Re Rickards Estate v. Diebold Election Systems Inc.,</w:t>
      </w:r>
      <w:r w:rsidRPr="00536F24">
        <w:rPr>
          <w:rFonts w:ascii="Arial" w:hAnsi="Arial" w:cs="Arial"/>
          <w:sz w:val="24"/>
          <w:szCs w:val="24"/>
        </w:rPr>
        <w:t xml:space="preserve"> 2004 BCSC 1357 at para. 23:</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(1)   It is necessary to separate the question of formation of contract from its completion.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(2)   Whether a contract is formed depends upon whether the parties have reached an agreement on all essential terms.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(3)   It is common with settlements that the deal is struck before documentation can be completed.  In such cases, if there is agreement on the essential terms a contract has been formed an</w:t>
      </w:r>
      <w:r>
        <w:rPr>
          <w:rFonts w:ascii="Arial" w:hAnsi="Arial" w:cs="Arial"/>
          <w:sz w:val="24"/>
          <w:szCs w:val="24"/>
        </w:rPr>
        <w:t>d</w:t>
      </w:r>
      <w:r w:rsidRPr="00FE5E1E">
        <w:rPr>
          <w:rFonts w:ascii="Arial" w:hAnsi="Arial" w:cs="Arial"/>
          <w:sz w:val="24"/>
          <w:szCs w:val="24"/>
        </w:rPr>
        <w:t xml:space="preserve"> the settlement is binding.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(4)   Generally speaking, litigation is settled on the basis that a final agreement has been reached which the parties intend to record in formal documentation, rather than on the alternative basis that the parties have only reached a tentative agreement which will not be binding upon them until the documentation is complete.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(5)   A settlement implies a promise to furnish a release (and a consent dismissal if an action has been commenced).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(6)   Where an agreement has been concluded with documentation to follow, either party can tender whatever documents he or she thinks appropriate without thereby rescinding the settlement agreement.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(7)   If the documents are not accepted there must be further discussion, but neither party is released or discharged unless the other party has demonstrated an unwillingness to be bound by the agreement by insisting upon terms or conditions which have not been agreed upon or are not reasonably implied in these circumstances.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(8)   Not every disagreement over documentation consequent upon a settlement amounts to repudiation of a settlement.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(9)   Parties who reach a settlement should usually be held to their bargains, and disputes should be resolved by application to the court or by common sense within the framework of the settlement to which the parties have agreed and in accordance with the common practices which prevail amongst members of the bar.</w:t>
      </w:r>
    </w:p>
    <w:p w:rsidR="0024625E" w:rsidRPr="00997A33" w:rsidRDefault="0024625E" w:rsidP="00202397">
      <w:pPr>
        <w:pStyle w:val="ListParagraph"/>
        <w:numPr>
          <w:ilvl w:val="0"/>
          <w:numId w:val="20"/>
        </w:numPr>
        <w:spacing w:before="240" w:after="240"/>
        <w:ind w:hanging="720"/>
        <w:contextualSpacing w:val="0"/>
        <w:jc w:val="both"/>
        <w:rPr>
          <w:rFonts w:ascii="Arial" w:hAnsi="Arial" w:cs="Arial"/>
          <w:b/>
          <w:sz w:val="24"/>
          <w:szCs w:val="24"/>
        </w:rPr>
      </w:pPr>
      <w:r w:rsidRPr="00997A33">
        <w:rPr>
          <w:rFonts w:ascii="Arial" w:hAnsi="Arial" w:cs="Arial"/>
          <w:b/>
          <w:sz w:val="24"/>
          <w:szCs w:val="24"/>
        </w:rPr>
        <w:t>BC Ferry Agreements: Multiple Defendants and Joint &amp; Several Liability</w:t>
      </w:r>
    </w:p>
    <w:p w:rsidR="0024625E" w:rsidRDefault="0024625E" w:rsidP="00202397">
      <w:pPr>
        <w:pStyle w:val="ListParagraph"/>
        <w:numPr>
          <w:ilvl w:val="0"/>
          <w:numId w:val="17"/>
        </w:numPr>
        <w:spacing w:after="240"/>
        <w:contextualSpacing w:val="0"/>
        <w:jc w:val="both"/>
        <w:rPr>
          <w:rFonts w:ascii="Arial" w:hAnsi="Arial" w:cs="Arial"/>
          <w:sz w:val="24"/>
          <w:szCs w:val="24"/>
        </w:rPr>
      </w:pPr>
      <w:r w:rsidRPr="00772B74">
        <w:rPr>
          <w:rFonts w:ascii="Arial" w:hAnsi="Arial" w:cs="Arial"/>
          <w:sz w:val="24"/>
          <w:szCs w:val="24"/>
        </w:rPr>
        <w:t xml:space="preserve">The term “BC Ferry Agreement” </w:t>
      </w:r>
      <w:r>
        <w:rPr>
          <w:rFonts w:ascii="Arial" w:hAnsi="Arial" w:cs="Arial"/>
          <w:sz w:val="24"/>
          <w:szCs w:val="24"/>
        </w:rPr>
        <w:t>arises from the case,</w:t>
      </w:r>
      <w:r w:rsidRPr="00772B74">
        <w:rPr>
          <w:rFonts w:ascii="Arial" w:hAnsi="Arial" w:cs="Arial"/>
          <w:sz w:val="24"/>
          <w:szCs w:val="24"/>
        </w:rPr>
        <w:t xml:space="preserve"> </w:t>
      </w:r>
      <w:r w:rsidRPr="00772B74">
        <w:rPr>
          <w:rFonts w:ascii="Arial" w:hAnsi="Arial" w:cs="Arial"/>
          <w:i/>
          <w:sz w:val="24"/>
          <w:szCs w:val="24"/>
        </w:rPr>
        <w:t xml:space="preserve">British Columbia Ferry Corp. v. T&amp;N, </w:t>
      </w:r>
      <w:r w:rsidRPr="00772B74">
        <w:rPr>
          <w:rFonts w:ascii="Arial" w:hAnsi="Arial" w:cs="Arial"/>
          <w:sz w:val="24"/>
          <w:szCs w:val="24"/>
        </w:rPr>
        <w:t xml:space="preserve">1995 </w:t>
      </w:r>
      <w:proofErr w:type="spellStart"/>
      <w:r w:rsidRPr="00772B74">
        <w:rPr>
          <w:rFonts w:ascii="Arial" w:hAnsi="Arial" w:cs="Arial"/>
          <w:sz w:val="24"/>
          <w:szCs w:val="24"/>
        </w:rPr>
        <w:t>CanLII</w:t>
      </w:r>
      <w:proofErr w:type="spellEnd"/>
      <w:r w:rsidRPr="00772B74">
        <w:rPr>
          <w:rFonts w:ascii="Arial" w:hAnsi="Arial" w:cs="Arial"/>
          <w:sz w:val="24"/>
          <w:szCs w:val="24"/>
        </w:rPr>
        <w:t xml:space="preserve"> 1810 (BCCA) [</w:t>
      </w:r>
      <w:r w:rsidRPr="00772B74">
        <w:rPr>
          <w:rFonts w:ascii="Arial" w:hAnsi="Arial" w:cs="Arial"/>
          <w:i/>
          <w:sz w:val="24"/>
          <w:szCs w:val="24"/>
        </w:rPr>
        <w:t>BC Ferry</w:t>
      </w:r>
      <w:r w:rsidRPr="00772B74">
        <w:rPr>
          <w:rFonts w:ascii="Arial" w:hAnsi="Arial" w:cs="Arial"/>
          <w:sz w:val="24"/>
          <w:szCs w:val="24"/>
        </w:rPr>
        <w:t xml:space="preserve">]. </w:t>
      </w:r>
      <w:r>
        <w:rPr>
          <w:rFonts w:ascii="Arial" w:hAnsi="Arial" w:cs="Arial"/>
          <w:sz w:val="24"/>
          <w:szCs w:val="24"/>
        </w:rPr>
        <w:t>A “BC Ferry Agreement” is required</w:t>
      </w:r>
      <w:r w:rsidRPr="00772B74">
        <w:rPr>
          <w:rFonts w:ascii="Arial" w:hAnsi="Arial" w:cs="Arial"/>
          <w:sz w:val="24"/>
          <w:szCs w:val="24"/>
        </w:rPr>
        <w:t xml:space="preserve"> </w:t>
      </w:r>
      <w:r>
        <w:rPr>
          <w:rFonts w:ascii="Arial" w:hAnsi="Arial" w:cs="Arial"/>
          <w:sz w:val="24"/>
          <w:szCs w:val="24"/>
        </w:rPr>
        <w:t>where</w:t>
      </w:r>
      <w:r w:rsidRPr="00772B74">
        <w:rPr>
          <w:rFonts w:ascii="Arial" w:hAnsi="Arial" w:cs="Arial"/>
          <w:sz w:val="24"/>
          <w:szCs w:val="24"/>
        </w:rPr>
        <w:t xml:space="preserve"> there are multiple defendants, who may be jointly and severally liable to the plaintiff, and the plaintiff is considering a settlement agreement with just one </w:t>
      </w:r>
      <w:r>
        <w:rPr>
          <w:rFonts w:ascii="Arial" w:hAnsi="Arial" w:cs="Arial"/>
          <w:sz w:val="24"/>
          <w:szCs w:val="24"/>
        </w:rPr>
        <w:t xml:space="preserve">or some </w:t>
      </w:r>
      <w:r w:rsidRPr="00772B74">
        <w:rPr>
          <w:rFonts w:ascii="Arial" w:hAnsi="Arial" w:cs="Arial"/>
          <w:sz w:val="24"/>
          <w:szCs w:val="24"/>
        </w:rPr>
        <w:t>of the defendants</w:t>
      </w:r>
      <w:r>
        <w:rPr>
          <w:rFonts w:ascii="Arial" w:hAnsi="Arial" w:cs="Arial"/>
          <w:sz w:val="24"/>
          <w:szCs w:val="24"/>
        </w:rPr>
        <w:t>, but not all</w:t>
      </w:r>
      <w:r w:rsidRPr="00772B74">
        <w:rPr>
          <w:rFonts w:ascii="Arial" w:hAnsi="Arial" w:cs="Arial"/>
          <w:sz w:val="24"/>
          <w:szCs w:val="24"/>
        </w:rPr>
        <w:t xml:space="preserve">.  </w:t>
      </w:r>
    </w:p>
    <w:p w:rsidR="0024625E" w:rsidRPr="00772B74" w:rsidRDefault="0024625E" w:rsidP="00202397">
      <w:pPr>
        <w:pStyle w:val="ListParagraph"/>
        <w:numPr>
          <w:ilvl w:val="0"/>
          <w:numId w:val="17"/>
        </w:numPr>
        <w:spacing w:after="240"/>
        <w:contextualSpacing w:val="0"/>
        <w:jc w:val="both"/>
        <w:rPr>
          <w:rFonts w:ascii="Arial" w:hAnsi="Arial" w:cs="Arial"/>
          <w:sz w:val="24"/>
          <w:szCs w:val="24"/>
        </w:rPr>
      </w:pPr>
      <w:r w:rsidRPr="00772B74">
        <w:rPr>
          <w:rFonts w:ascii="Arial" w:hAnsi="Arial" w:cs="Arial"/>
          <w:sz w:val="24"/>
          <w:szCs w:val="24"/>
        </w:rPr>
        <w:t xml:space="preserve">In </w:t>
      </w:r>
      <w:r w:rsidRPr="00772B74">
        <w:rPr>
          <w:rFonts w:ascii="Arial" w:hAnsi="Arial" w:cs="Arial"/>
          <w:i/>
          <w:sz w:val="24"/>
          <w:szCs w:val="24"/>
        </w:rPr>
        <w:t xml:space="preserve">BC Ferry, </w:t>
      </w:r>
      <w:r w:rsidRPr="00772B74">
        <w:rPr>
          <w:rFonts w:ascii="Arial" w:hAnsi="Arial" w:cs="Arial"/>
          <w:sz w:val="24"/>
          <w:szCs w:val="24"/>
        </w:rPr>
        <w:t>the plaintiffs agreed to settle their claim against one of the defendants, on the following terms:</w:t>
      </w:r>
    </w:p>
    <w:p w:rsidR="0024625E" w:rsidRDefault="0024625E" w:rsidP="00202397">
      <w:pPr>
        <w:pStyle w:val="ListParagraph"/>
        <w:numPr>
          <w:ilvl w:val="0"/>
          <w:numId w:val="1"/>
        </w:numPr>
        <w:ind w:left="1800"/>
        <w:jc w:val="both"/>
        <w:rPr>
          <w:rFonts w:ascii="Arial" w:hAnsi="Arial" w:cs="Arial"/>
          <w:sz w:val="24"/>
          <w:szCs w:val="24"/>
        </w:rPr>
      </w:pPr>
      <w:r>
        <w:rPr>
          <w:rFonts w:ascii="Arial" w:hAnsi="Arial" w:cs="Arial"/>
          <w:sz w:val="24"/>
          <w:szCs w:val="24"/>
        </w:rPr>
        <w:t>Neither B.C. Ferries nor the Province will seek to recover, either in the Action or by any other proceedings, any portion of the losses which it claims in the Action which by a court or other tribunal may attribute to the fault of Yarrows. In particular, without limiting the generality of the foregoing, neither B.C. Ferries nor the Province will seek to recover such portion of its losses form the Defendants in the Action.</w:t>
      </w:r>
    </w:p>
    <w:p w:rsidR="0024625E" w:rsidRDefault="0024625E" w:rsidP="0024625E">
      <w:pPr>
        <w:pStyle w:val="ListParagraph"/>
        <w:ind w:left="1800"/>
        <w:jc w:val="both"/>
        <w:rPr>
          <w:rFonts w:ascii="Arial" w:hAnsi="Arial" w:cs="Arial"/>
          <w:sz w:val="24"/>
          <w:szCs w:val="24"/>
        </w:rPr>
      </w:pPr>
    </w:p>
    <w:p w:rsidR="0024625E" w:rsidRDefault="0024625E" w:rsidP="00202397">
      <w:pPr>
        <w:pStyle w:val="ListParagraph"/>
        <w:numPr>
          <w:ilvl w:val="0"/>
          <w:numId w:val="1"/>
        </w:numPr>
        <w:spacing w:after="240"/>
        <w:ind w:left="1800"/>
        <w:contextualSpacing w:val="0"/>
        <w:jc w:val="both"/>
        <w:rPr>
          <w:rFonts w:ascii="Arial" w:hAnsi="Arial" w:cs="Arial"/>
          <w:sz w:val="24"/>
          <w:szCs w:val="24"/>
        </w:rPr>
      </w:pPr>
      <w:r>
        <w:rPr>
          <w:rFonts w:ascii="Arial" w:hAnsi="Arial" w:cs="Arial"/>
          <w:sz w:val="24"/>
          <w:szCs w:val="24"/>
        </w:rPr>
        <w:t>At the first reasonable opportunity, B.C. Ferries and the Province will advise the Court that they expressly waive any right to recover from the Defendants in the Action any portion of the losses which they claim and which the Court any attribute to the fault of Yarrows.</w:t>
      </w:r>
    </w:p>
    <w:p w:rsidR="0024625E" w:rsidRDefault="0024625E" w:rsidP="00202397">
      <w:pPr>
        <w:pStyle w:val="ListParagraph"/>
        <w:numPr>
          <w:ilvl w:val="0"/>
          <w:numId w:val="18"/>
        </w:numPr>
        <w:spacing w:after="240"/>
        <w:contextualSpacing w:val="0"/>
        <w:jc w:val="both"/>
        <w:rPr>
          <w:rFonts w:ascii="Arial" w:hAnsi="Arial" w:cs="Arial"/>
          <w:sz w:val="24"/>
          <w:szCs w:val="24"/>
        </w:rPr>
      </w:pPr>
      <w:r>
        <w:rPr>
          <w:rFonts w:ascii="Arial" w:hAnsi="Arial" w:cs="Arial"/>
          <w:sz w:val="24"/>
          <w:szCs w:val="24"/>
        </w:rPr>
        <w:t>U</w:t>
      </w:r>
      <w:r w:rsidRPr="00772B74">
        <w:rPr>
          <w:rFonts w:ascii="Arial" w:hAnsi="Arial" w:cs="Arial"/>
          <w:sz w:val="24"/>
          <w:szCs w:val="24"/>
        </w:rPr>
        <w:t xml:space="preserve">nder a BC Ferry Agreement, </w:t>
      </w:r>
      <w:r>
        <w:rPr>
          <w:rFonts w:ascii="Arial" w:hAnsi="Arial" w:cs="Arial"/>
          <w:sz w:val="24"/>
          <w:szCs w:val="24"/>
        </w:rPr>
        <w:t>the</w:t>
      </w:r>
      <w:r w:rsidRPr="00772B74">
        <w:rPr>
          <w:rFonts w:ascii="Arial" w:hAnsi="Arial" w:cs="Arial"/>
          <w:sz w:val="24"/>
          <w:szCs w:val="24"/>
        </w:rPr>
        <w:t xml:space="preserve"> plaintiff is waiving </w:t>
      </w:r>
      <w:r>
        <w:rPr>
          <w:rFonts w:ascii="Arial" w:hAnsi="Arial" w:cs="Arial"/>
          <w:sz w:val="24"/>
          <w:szCs w:val="24"/>
        </w:rPr>
        <w:t>his or her</w:t>
      </w:r>
      <w:r w:rsidRPr="00772B74">
        <w:rPr>
          <w:rFonts w:ascii="Arial" w:hAnsi="Arial" w:cs="Arial"/>
          <w:sz w:val="24"/>
          <w:szCs w:val="24"/>
        </w:rPr>
        <w:t xml:space="preserve"> right to pursue any further claim or proceeding relating to the settling defendant, directly or indirectly. The plaintiff agrees that the settling defendant’s </w:t>
      </w:r>
      <w:r>
        <w:rPr>
          <w:rFonts w:ascii="Arial" w:hAnsi="Arial" w:cs="Arial"/>
          <w:sz w:val="24"/>
          <w:szCs w:val="24"/>
        </w:rPr>
        <w:t>‘</w:t>
      </w:r>
      <w:r w:rsidRPr="00772B74">
        <w:rPr>
          <w:rFonts w:ascii="Arial" w:hAnsi="Arial" w:cs="Arial"/>
          <w:sz w:val="24"/>
          <w:szCs w:val="24"/>
        </w:rPr>
        <w:t>share</w:t>
      </w:r>
      <w:r>
        <w:rPr>
          <w:rFonts w:ascii="Arial" w:hAnsi="Arial" w:cs="Arial"/>
          <w:sz w:val="24"/>
          <w:szCs w:val="24"/>
        </w:rPr>
        <w:t>’ of the liability</w:t>
      </w:r>
      <w:r w:rsidRPr="00772B74">
        <w:rPr>
          <w:rFonts w:ascii="Arial" w:hAnsi="Arial" w:cs="Arial"/>
          <w:sz w:val="24"/>
          <w:szCs w:val="24"/>
        </w:rPr>
        <w:t xml:space="preserve"> has been paid in full and abandons any further claim against them.</w:t>
      </w:r>
    </w:p>
    <w:p w:rsidR="0024625E" w:rsidRDefault="0024625E" w:rsidP="00202397">
      <w:pPr>
        <w:pStyle w:val="ListParagraph"/>
        <w:numPr>
          <w:ilvl w:val="0"/>
          <w:numId w:val="18"/>
        </w:numPr>
        <w:spacing w:after="240"/>
        <w:contextualSpacing w:val="0"/>
        <w:jc w:val="both"/>
        <w:rPr>
          <w:rFonts w:ascii="Arial" w:hAnsi="Arial" w:cs="Arial"/>
          <w:sz w:val="24"/>
          <w:szCs w:val="24"/>
        </w:rPr>
      </w:pPr>
      <w:r>
        <w:rPr>
          <w:rFonts w:ascii="Arial" w:hAnsi="Arial" w:cs="Arial"/>
          <w:sz w:val="24"/>
          <w:szCs w:val="24"/>
        </w:rPr>
        <w:t xml:space="preserve">Thus, a BC Ferry Agreement </w:t>
      </w:r>
      <w:r>
        <w:rPr>
          <w:rFonts w:ascii="Arial" w:hAnsi="Arial" w:cs="Arial"/>
          <w:i/>
          <w:sz w:val="24"/>
          <w:szCs w:val="24"/>
          <w:u w:val="single"/>
        </w:rPr>
        <w:t>severs</w:t>
      </w:r>
      <w:r>
        <w:rPr>
          <w:rFonts w:ascii="Arial" w:hAnsi="Arial" w:cs="Arial"/>
          <w:sz w:val="24"/>
          <w:szCs w:val="24"/>
        </w:rPr>
        <w:t xml:space="preserve"> joint and several liability. The plaintiff is required to amend his or her NOCC to clarify that they are only seeking several liability as against the remaining defendant, in order to prevent that remaining defendant from having a third party claim against the settling defendant for contribution and indemnity.</w:t>
      </w:r>
    </w:p>
    <w:p w:rsidR="0024625E" w:rsidRDefault="0024625E" w:rsidP="00202397">
      <w:pPr>
        <w:pStyle w:val="ListParagraph"/>
        <w:numPr>
          <w:ilvl w:val="0"/>
          <w:numId w:val="18"/>
        </w:numPr>
        <w:spacing w:after="240"/>
        <w:contextualSpacing w:val="0"/>
        <w:jc w:val="both"/>
        <w:rPr>
          <w:rFonts w:ascii="Arial" w:hAnsi="Arial" w:cs="Arial"/>
          <w:sz w:val="24"/>
          <w:szCs w:val="24"/>
        </w:rPr>
      </w:pPr>
      <w:r>
        <w:rPr>
          <w:rFonts w:ascii="Arial" w:hAnsi="Arial" w:cs="Arial"/>
          <w:sz w:val="24"/>
          <w:szCs w:val="24"/>
        </w:rPr>
        <w:t xml:space="preserve">However, the remaining defendant will be motivated to want to apportion as much fault over to the settling defendant as possible, in order to minimize the remaining defendant’s exposure.  This is accomplished through a third party notice for “declaratory relief” only.  Meaning, the settling party can still be compelled as a “party” to participate and give evidence in a legal proceeding, but he or she is not exposed to judgment. </w:t>
      </w:r>
    </w:p>
    <w:p w:rsidR="0024625E" w:rsidRPr="00F67219" w:rsidRDefault="0024625E" w:rsidP="00202397">
      <w:pPr>
        <w:pStyle w:val="ListParagraph"/>
        <w:numPr>
          <w:ilvl w:val="0"/>
          <w:numId w:val="18"/>
        </w:numPr>
        <w:spacing w:after="240"/>
        <w:contextualSpacing w:val="0"/>
        <w:jc w:val="both"/>
        <w:rPr>
          <w:rFonts w:ascii="Arial" w:hAnsi="Arial" w:cs="Arial"/>
          <w:i/>
          <w:sz w:val="24"/>
          <w:szCs w:val="24"/>
        </w:rPr>
      </w:pPr>
      <w:r w:rsidRPr="00F67219">
        <w:rPr>
          <w:rFonts w:ascii="Arial" w:hAnsi="Arial" w:cs="Arial"/>
          <w:i/>
          <w:sz w:val="24"/>
          <w:szCs w:val="24"/>
        </w:rPr>
        <w:t>Let’</w:t>
      </w:r>
      <w:r>
        <w:rPr>
          <w:rFonts w:ascii="Arial" w:hAnsi="Arial" w:cs="Arial"/>
          <w:i/>
          <w:sz w:val="24"/>
          <w:szCs w:val="24"/>
        </w:rPr>
        <w:t>s review the</w:t>
      </w:r>
      <w:r w:rsidRPr="00F67219">
        <w:rPr>
          <w:rFonts w:ascii="Arial" w:hAnsi="Arial" w:cs="Arial"/>
          <w:i/>
          <w:sz w:val="24"/>
          <w:szCs w:val="24"/>
        </w:rPr>
        <w:t xml:space="preserve"> sample BC Ferry Agreement</w:t>
      </w:r>
      <w:r>
        <w:rPr>
          <w:rFonts w:ascii="Arial" w:hAnsi="Arial" w:cs="Arial"/>
          <w:i/>
          <w:sz w:val="24"/>
          <w:szCs w:val="24"/>
        </w:rPr>
        <w:t xml:space="preserve"> posted on the website.</w:t>
      </w:r>
    </w:p>
    <w:p w:rsidR="0024625E" w:rsidRDefault="0024625E" w:rsidP="00202397">
      <w:pPr>
        <w:pStyle w:val="ListParagraph"/>
        <w:numPr>
          <w:ilvl w:val="0"/>
          <w:numId w:val="18"/>
        </w:numPr>
        <w:spacing w:after="240"/>
        <w:contextualSpacing w:val="0"/>
        <w:jc w:val="both"/>
        <w:rPr>
          <w:rFonts w:ascii="Arial" w:hAnsi="Arial" w:cs="Arial"/>
          <w:sz w:val="24"/>
          <w:szCs w:val="24"/>
        </w:rPr>
      </w:pPr>
      <w:r>
        <w:rPr>
          <w:rFonts w:ascii="Arial" w:hAnsi="Arial" w:cs="Arial"/>
          <w:sz w:val="24"/>
          <w:szCs w:val="24"/>
        </w:rPr>
        <w:t xml:space="preserve">An example of a BC Ferry settlement was the plaintiff’s resolution with Nicholas </w:t>
      </w:r>
      <w:proofErr w:type="spellStart"/>
      <w:r>
        <w:rPr>
          <w:rFonts w:ascii="Arial" w:hAnsi="Arial" w:cs="Arial"/>
          <w:sz w:val="24"/>
          <w:szCs w:val="24"/>
        </w:rPr>
        <w:t>Osuteye</w:t>
      </w:r>
      <w:proofErr w:type="spellEnd"/>
      <w:r>
        <w:rPr>
          <w:rFonts w:ascii="Arial" w:hAnsi="Arial" w:cs="Arial"/>
          <w:sz w:val="24"/>
          <w:szCs w:val="24"/>
        </w:rPr>
        <w:t xml:space="preserve"> in </w:t>
      </w:r>
      <w:r>
        <w:rPr>
          <w:rFonts w:ascii="Arial" w:hAnsi="Arial" w:cs="Arial"/>
          <w:i/>
          <w:sz w:val="24"/>
          <w:szCs w:val="24"/>
        </w:rPr>
        <w:t xml:space="preserve">Crawford v. </w:t>
      </w:r>
      <w:proofErr w:type="spellStart"/>
      <w:r>
        <w:rPr>
          <w:rFonts w:ascii="Arial" w:hAnsi="Arial" w:cs="Arial"/>
          <w:i/>
          <w:sz w:val="24"/>
          <w:szCs w:val="24"/>
        </w:rPr>
        <w:t>Nazif</w:t>
      </w:r>
      <w:proofErr w:type="spellEnd"/>
      <w:r>
        <w:rPr>
          <w:rFonts w:ascii="Arial" w:hAnsi="Arial" w:cs="Arial"/>
          <w:sz w:val="24"/>
          <w:szCs w:val="24"/>
        </w:rPr>
        <w:t xml:space="preserve">.  The plaintiff agreed to resolve with Mr. </w:t>
      </w:r>
      <w:proofErr w:type="spellStart"/>
      <w:r>
        <w:rPr>
          <w:rFonts w:ascii="Arial" w:hAnsi="Arial" w:cs="Arial"/>
          <w:sz w:val="24"/>
          <w:szCs w:val="24"/>
        </w:rPr>
        <w:t>Osuteye</w:t>
      </w:r>
      <w:proofErr w:type="spellEnd"/>
      <w:r>
        <w:rPr>
          <w:rFonts w:ascii="Arial" w:hAnsi="Arial" w:cs="Arial"/>
          <w:sz w:val="24"/>
          <w:szCs w:val="24"/>
        </w:rPr>
        <w:t xml:space="preserve"> on a without costs basis, abandoning any potential recovery of her damages award against him, in the event he was apportioned fault at trial.  The defendant Dr. </w:t>
      </w:r>
      <w:proofErr w:type="spellStart"/>
      <w:r>
        <w:rPr>
          <w:rFonts w:ascii="Arial" w:hAnsi="Arial" w:cs="Arial"/>
          <w:sz w:val="24"/>
          <w:szCs w:val="24"/>
        </w:rPr>
        <w:t>Nazif</w:t>
      </w:r>
      <w:proofErr w:type="spellEnd"/>
      <w:r>
        <w:rPr>
          <w:rFonts w:ascii="Arial" w:hAnsi="Arial" w:cs="Arial"/>
          <w:sz w:val="24"/>
          <w:szCs w:val="24"/>
        </w:rPr>
        <w:t xml:space="preserve"> maintained a third party claim over against Mr. </w:t>
      </w:r>
      <w:proofErr w:type="spellStart"/>
      <w:r>
        <w:rPr>
          <w:rFonts w:ascii="Arial" w:hAnsi="Arial" w:cs="Arial"/>
          <w:sz w:val="24"/>
          <w:szCs w:val="24"/>
        </w:rPr>
        <w:t>Osuteye</w:t>
      </w:r>
      <w:proofErr w:type="spellEnd"/>
      <w:r>
        <w:rPr>
          <w:rFonts w:ascii="Arial" w:hAnsi="Arial" w:cs="Arial"/>
          <w:sz w:val="24"/>
          <w:szCs w:val="24"/>
        </w:rPr>
        <w:t xml:space="preserve"> for “declaratory relief” and an apportionment of fault.  The goal of this was to reduce Dr. </w:t>
      </w:r>
      <w:proofErr w:type="spellStart"/>
      <w:r>
        <w:rPr>
          <w:rFonts w:ascii="Arial" w:hAnsi="Arial" w:cs="Arial"/>
          <w:sz w:val="24"/>
          <w:szCs w:val="24"/>
        </w:rPr>
        <w:t>Nazif’s</w:t>
      </w:r>
      <w:proofErr w:type="spellEnd"/>
      <w:r>
        <w:rPr>
          <w:rFonts w:ascii="Arial" w:hAnsi="Arial" w:cs="Arial"/>
          <w:sz w:val="24"/>
          <w:szCs w:val="24"/>
        </w:rPr>
        <w:t xml:space="preserve"> own exposure, by pointing the finger at Mr. </w:t>
      </w:r>
      <w:proofErr w:type="spellStart"/>
      <w:r>
        <w:rPr>
          <w:rFonts w:ascii="Arial" w:hAnsi="Arial" w:cs="Arial"/>
          <w:sz w:val="24"/>
          <w:szCs w:val="24"/>
        </w:rPr>
        <w:t>Osuteye</w:t>
      </w:r>
      <w:proofErr w:type="spellEnd"/>
      <w:r>
        <w:rPr>
          <w:rFonts w:ascii="Arial" w:hAnsi="Arial" w:cs="Arial"/>
          <w:sz w:val="24"/>
          <w:szCs w:val="24"/>
        </w:rPr>
        <w:t xml:space="preserve">. But, was this a good strategy in front of a jury, for a physician defendant to blame her patient, who was sick? </w:t>
      </w:r>
    </w:p>
    <w:p w:rsidR="00D002D0" w:rsidRPr="00997A33" w:rsidRDefault="00D002D0" w:rsidP="00202397">
      <w:pPr>
        <w:pStyle w:val="ListParagraph"/>
        <w:keepNext/>
        <w:keepLines/>
        <w:numPr>
          <w:ilvl w:val="0"/>
          <w:numId w:val="20"/>
        </w:numPr>
        <w:spacing w:before="240" w:after="240"/>
        <w:ind w:hanging="720"/>
        <w:contextualSpacing w:val="0"/>
        <w:jc w:val="both"/>
        <w:rPr>
          <w:rFonts w:ascii="Arial" w:hAnsi="Arial" w:cs="Arial"/>
          <w:b/>
          <w:sz w:val="24"/>
          <w:szCs w:val="24"/>
        </w:rPr>
      </w:pPr>
      <w:r w:rsidRPr="00997A33">
        <w:rPr>
          <w:rFonts w:ascii="Arial" w:hAnsi="Arial" w:cs="Arial"/>
          <w:b/>
          <w:sz w:val="24"/>
          <w:szCs w:val="24"/>
        </w:rPr>
        <w:t>Infant Settlements</w:t>
      </w:r>
    </w:p>
    <w:p w:rsidR="00D002D0" w:rsidRPr="00F82D7E" w:rsidRDefault="00AD0F65" w:rsidP="00202397">
      <w:pPr>
        <w:pStyle w:val="ListParagraph"/>
        <w:numPr>
          <w:ilvl w:val="0"/>
          <w:numId w:val="21"/>
        </w:numPr>
        <w:spacing w:after="240"/>
        <w:contextualSpacing w:val="0"/>
        <w:jc w:val="both"/>
        <w:rPr>
          <w:rFonts w:ascii="Arial" w:hAnsi="Arial" w:cs="Arial"/>
          <w:sz w:val="24"/>
          <w:szCs w:val="24"/>
        </w:rPr>
      </w:pPr>
      <w:r w:rsidRPr="00AD0F65">
        <w:rPr>
          <w:rFonts w:ascii="Arial" w:hAnsi="Arial" w:cs="Arial"/>
          <w:color w:val="272424"/>
          <w:sz w:val="25"/>
          <w:szCs w:val="25"/>
          <w:shd w:val="clear" w:color="auto" w:fill="FFFFFF"/>
        </w:rPr>
        <w:t xml:space="preserve">When an infant </w:t>
      </w:r>
      <w:r w:rsidR="00202397">
        <w:rPr>
          <w:rFonts w:ascii="Arial" w:hAnsi="Arial" w:cs="Arial"/>
          <w:color w:val="272424"/>
          <w:sz w:val="25"/>
          <w:szCs w:val="25"/>
          <w:shd w:val="clear" w:color="auto" w:fill="FFFFFF"/>
        </w:rPr>
        <w:t xml:space="preserve">(anyone under the age of 19 in BC) </w:t>
      </w:r>
      <w:r w:rsidRPr="00AD0F65">
        <w:rPr>
          <w:rFonts w:ascii="Arial" w:hAnsi="Arial" w:cs="Arial"/>
          <w:color w:val="272424"/>
          <w:sz w:val="25"/>
          <w:szCs w:val="25"/>
          <w:shd w:val="clear" w:color="auto" w:fill="FFFFFF"/>
        </w:rPr>
        <w:t xml:space="preserve">is </w:t>
      </w:r>
      <w:r w:rsidR="00202397">
        <w:rPr>
          <w:rFonts w:ascii="Arial" w:hAnsi="Arial" w:cs="Arial"/>
          <w:color w:val="272424"/>
          <w:sz w:val="25"/>
          <w:szCs w:val="25"/>
          <w:shd w:val="clear" w:color="auto" w:fill="FFFFFF"/>
        </w:rPr>
        <w:t>the plaintiff,</w:t>
      </w:r>
      <w:r w:rsidRPr="00AD0F65">
        <w:rPr>
          <w:rFonts w:ascii="Arial" w:hAnsi="Arial" w:cs="Arial"/>
          <w:color w:val="272424"/>
          <w:sz w:val="25"/>
          <w:szCs w:val="25"/>
          <w:shd w:val="clear" w:color="auto" w:fill="FFFFFF"/>
        </w:rPr>
        <w:t xml:space="preserve"> a settlement </w:t>
      </w:r>
      <w:r w:rsidR="00202397">
        <w:rPr>
          <w:rFonts w:ascii="Arial" w:hAnsi="Arial" w:cs="Arial"/>
          <w:color w:val="272424"/>
          <w:sz w:val="25"/>
          <w:szCs w:val="25"/>
          <w:shd w:val="clear" w:color="auto" w:fill="FFFFFF"/>
        </w:rPr>
        <w:t>must be approved by</w:t>
      </w:r>
      <w:r w:rsidRPr="00AD0F65">
        <w:rPr>
          <w:rFonts w:ascii="Arial" w:hAnsi="Arial" w:cs="Arial"/>
          <w:color w:val="272424"/>
          <w:sz w:val="25"/>
          <w:szCs w:val="25"/>
          <w:shd w:val="clear" w:color="auto" w:fill="FFFFFF"/>
        </w:rPr>
        <w:t xml:space="preserve"> the </w:t>
      </w:r>
      <w:hyperlink r:id="rId11" w:history="1">
        <w:r w:rsidRPr="00202397">
          <w:rPr>
            <w:rStyle w:val="Hyperlink"/>
            <w:rFonts w:ascii="Arial" w:hAnsi="Arial" w:cs="Arial"/>
            <w:color w:val="auto"/>
            <w:sz w:val="25"/>
            <w:szCs w:val="25"/>
            <w:u w:val="none"/>
            <w:shd w:val="clear" w:color="auto" w:fill="FFFFFF"/>
          </w:rPr>
          <w:t xml:space="preserve"> Public Guardian and Trustee</w:t>
        </w:r>
      </w:hyperlink>
      <w:r w:rsidR="00202397">
        <w:rPr>
          <w:rFonts w:ascii="Arial" w:hAnsi="Arial" w:cs="Arial"/>
          <w:sz w:val="25"/>
          <w:szCs w:val="25"/>
          <w:shd w:val="clear" w:color="auto" w:fill="FFFFFF"/>
        </w:rPr>
        <w:t xml:space="preserve">.  </w:t>
      </w:r>
    </w:p>
    <w:p w:rsidR="00F82D7E" w:rsidRPr="00F82D7E" w:rsidRDefault="00F82D7E" w:rsidP="00202397">
      <w:pPr>
        <w:pStyle w:val="ListParagraph"/>
        <w:numPr>
          <w:ilvl w:val="0"/>
          <w:numId w:val="21"/>
        </w:numPr>
        <w:spacing w:after="240"/>
        <w:contextualSpacing w:val="0"/>
        <w:jc w:val="both"/>
        <w:rPr>
          <w:rFonts w:ascii="Arial" w:hAnsi="Arial" w:cs="Arial"/>
          <w:sz w:val="36"/>
          <w:szCs w:val="24"/>
        </w:rPr>
      </w:pPr>
      <w:r w:rsidRPr="00F82D7E">
        <w:rPr>
          <w:rFonts w:ascii="Arial" w:hAnsi="Arial" w:cs="Arial"/>
          <w:color w:val="333333"/>
          <w:sz w:val="24"/>
          <w:szCs w:val="18"/>
          <w:shd w:val="clear" w:color="auto" w:fill="FFFFFF"/>
        </w:rPr>
        <w:t xml:space="preserve">For settlements of $50,000 or under, the PGT can approve or reject the settlement on the minor's behalf. </w:t>
      </w:r>
    </w:p>
    <w:p w:rsidR="00F82D7E" w:rsidRPr="00F82D7E" w:rsidRDefault="00F82D7E" w:rsidP="00F82D7E">
      <w:pPr>
        <w:pStyle w:val="ListParagraph"/>
        <w:numPr>
          <w:ilvl w:val="0"/>
          <w:numId w:val="21"/>
        </w:numPr>
        <w:spacing w:after="240"/>
        <w:contextualSpacing w:val="0"/>
        <w:jc w:val="both"/>
        <w:rPr>
          <w:rFonts w:ascii="Arial" w:hAnsi="Arial" w:cs="Arial"/>
          <w:sz w:val="36"/>
          <w:szCs w:val="24"/>
        </w:rPr>
      </w:pPr>
      <w:r w:rsidRPr="00F82D7E">
        <w:rPr>
          <w:rFonts w:ascii="Arial" w:hAnsi="Arial" w:cs="Arial"/>
          <w:color w:val="333333"/>
          <w:sz w:val="24"/>
          <w:szCs w:val="18"/>
          <w:shd w:val="clear" w:color="auto" w:fill="FFFFFF"/>
        </w:rPr>
        <w:t>If the settlement is over $50,000, the PGT makes a recommendation to court as to whether the settlement is adequate. The court then makes the final decision whether the settlement will be approved.</w:t>
      </w:r>
      <w:r>
        <w:rPr>
          <w:rFonts w:ascii="Arial" w:hAnsi="Arial" w:cs="Arial"/>
          <w:color w:val="333333"/>
          <w:sz w:val="24"/>
          <w:szCs w:val="18"/>
          <w:shd w:val="clear" w:color="auto" w:fill="FFFFFF"/>
        </w:rPr>
        <w:t xml:space="preserve">  </w:t>
      </w:r>
      <w:r w:rsidRPr="00F82D7E">
        <w:rPr>
          <w:rFonts w:ascii="Arial" w:hAnsi="Arial" w:cs="Arial"/>
          <w:color w:val="272424"/>
          <w:sz w:val="25"/>
          <w:szCs w:val="25"/>
          <w:shd w:val="clear" w:color="auto" w:fill="FFFFFF"/>
        </w:rPr>
        <w:t xml:space="preserve">There is a </w:t>
      </w:r>
      <w:hyperlink r:id="rId12" w:history="1">
        <w:r w:rsidRPr="00F82D7E">
          <w:rPr>
            <w:rStyle w:val="Hyperlink"/>
            <w:rFonts w:ascii="Arial" w:hAnsi="Arial" w:cs="Arial"/>
            <w:sz w:val="24"/>
          </w:rPr>
          <w:t>Practice Direction</w:t>
        </w:r>
      </w:hyperlink>
      <w:r w:rsidRPr="00F82D7E">
        <w:rPr>
          <w:sz w:val="24"/>
        </w:rPr>
        <w:t xml:space="preserve"> </w:t>
      </w:r>
      <w:r w:rsidRPr="00F82D7E">
        <w:rPr>
          <w:rFonts w:ascii="Arial" w:hAnsi="Arial" w:cs="Arial"/>
          <w:color w:val="272424"/>
          <w:sz w:val="25"/>
          <w:szCs w:val="25"/>
          <w:shd w:val="clear" w:color="auto" w:fill="FFFFFF"/>
        </w:rPr>
        <w:t xml:space="preserve">in this regard.  </w:t>
      </w:r>
    </w:p>
    <w:p w:rsidR="00202397" w:rsidRPr="00301E65" w:rsidRDefault="00301E65" w:rsidP="00202397">
      <w:pPr>
        <w:pStyle w:val="ListParagraph"/>
        <w:numPr>
          <w:ilvl w:val="0"/>
          <w:numId w:val="21"/>
        </w:numPr>
        <w:spacing w:after="240"/>
        <w:contextualSpacing w:val="0"/>
        <w:jc w:val="both"/>
        <w:rPr>
          <w:rFonts w:ascii="Arial" w:hAnsi="Arial" w:cs="Arial"/>
          <w:sz w:val="24"/>
          <w:szCs w:val="24"/>
        </w:rPr>
      </w:pPr>
      <w:r>
        <w:rPr>
          <w:rFonts w:ascii="Arial" w:hAnsi="Arial" w:cs="Arial"/>
          <w:sz w:val="24"/>
          <w:szCs w:val="24"/>
        </w:rPr>
        <w:t xml:space="preserve">In </w:t>
      </w:r>
      <w:proofErr w:type="spellStart"/>
      <w:r>
        <w:rPr>
          <w:rFonts w:ascii="Arial" w:hAnsi="Arial" w:cs="Arial"/>
          <w:i/>
          <w:sz w:val="24"/>
          <w:szCs w:val="24"/>
        </w:rPr>
        <w:t>Lotocky</w:t>
      </w:r>
      <w:proofErr w:type="spellEnd"/>
      <w:r>
        <w:rPr>
          <w:rFonts w:ascii="Arial" w:hAnsi="Arial" w:cs="Arial"/>
          <w:i/>
          <w:sz w:val="24"/>
          <w:szCs w:val="24"/>
        </w:rPr>
        <w:t xml:space="preserve"> v. </w:t>
      </w:r>
      <w:proofErr w:type="spellStart"/>
      <w:r>
        <w:rPr>
          <w:rFonts w:ascii="Arial" w:hAnsi="Arial" w:cs="Arial"/>
          <w:i/>
          <w:sz w:val="24"/>
          <w:szCs w:val="24"/>
        </w:rPr>
        <w:t>Markle</w:t>
      </w:r>
      <w:proofErr w:type="spellEnd"/>
      <w:r>
        <w:rPr>
          <w:rFonts w:ascii="Arial" w:hAnsi="Arial" w:cs="Arial"/>
          <w:i/>
          <w:sz w:val="24"/>
          <w:szCs w:val="24"/>
        </w:rPr>
        <w:t xml:space="preserve">, </w:t>
      </w:r>
      <w:r>
        <w:rPr>
          <w:rFonts w:ascii="Arial" w:hAnsi="Arial" w:cs="Arial"/>
          <w:sz w:val="24"/>
          <w:szCs w:val="24"/>
        </w:rPr>
        <w:t>2010 BCCA 75, the plaintiff infant suffered a brain injury during his birth.  His parents were his litigation guardians in his medical malpractice action.  The plaintiff lost at trial.  The defendants were entitled to their costs, which were significant, at over $330,000. The plaintiff appealed the trial order, but agreed his parents agreed to abandon the appeal in exchange for the defendants’ waiver of their claim for costs. But they needed the PGT’s approval. The PGT obtained their own legal opinion that concluded the appeal had merit, and therefore refused approval of the ‘settlement’ on a waiver of costs</w:t>
      </w:r>
      <w:r w:rsidR="00F82D7E">
        <w:rPr>
          <w:rFonts w:ascii="Arial" w:hAnsi="Arial" w:cs="Arial"/>
          <w:sz w:val="24"/>
          <w:szCs w:val="24"/>
        </w:rPr>
        <w:t xml:space="preserve"> (a settlement effectively worth less than $50,000, such that the PGT had the jurisdiction to reject the settlement)</w:t>
      </w:r>
      <w:r>
        <w:rPr>
          <w:rFonts w:ascii="Arial" w:hAnsi="Arial" w:cs="Arial"/>
          <w:sz w:val="24"/>
          <w:szCs w:val="24"/>
        </w:rPr>
        <w:t xml:space="preserve">.  The parties applied to the BC Court of Appeal to approve the settlement.  They did, overriding the PGT’s refusal.  They gave the following reasons: </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 xml:space="preserve">[66]         It is clear that payment of the trial costs would present a significant additional burden for the </w:t>
      </w:r>
      <w:proofErr w:type="spellStart"/>
      <w:r w:rsidRPr="00301E65">
        <w:rPr>
          <w:rStyle w:val="Emphasis"/>
          <w:rFonts w:ascii="Arial" w:hAnsi="Arial" w:cs="Arial"/>
          <w:i w:val="0"/>
          <w:sz w:val="22"/>
          <w:szCs w:val="25"/>
        </w:rPr>
        <w:t>Lotocky</w:t>
      </w:r>
      <w:proofErr w:type="spellEnd"/>
      <w:r w:rsidRPr="00301E65">
        <w:rPr>
          <w:rStyle w:val="Emphasis"/>
          <w:rFonts w:ascii="Arial" w:hAnsi="Arial" w:cs="Arial"/>
          <w:i w:val="0"/>
          <w:sz w:val="22"/>
          <w:szCs w:val="25"/>
        </w:rPr>
        <w:t xml:space="preserve"> family, and that this would inevitably affect Michael’s home life and future care.</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 xml:space="preserve">[67]         Turning to the position of the Public Guardian and Trustee on the issue of costs, it takes no issue with the good intentions of the </w:t>
      </w:r>
      <w:proofErr w:type="spellStart"/>
      <w:r w:rsidRPr="00301E65">
        <w:rPr>
          <w:rStyle w:val="Emphasis"/>
          <w:rFonts w:ascii="Arial" w:hAnsi="Arial" w:cs="Arial"/>
          <w:i w:val="0"/>
          <w:sz w:val="22"/>
          <w:szCs w:val="25"/>
        </w:rPr>
        <w:t>Lotockys</w:t>
      </w:r>
      <w:proofErr w:type="spellEnd"/>
      <w:r w:rsidRPr="00301E65">
        <w:rPr>
          <w:rStyle w:val="Emphasis"/>
          <w:rFonts w:ascii="Arial" w:hAnsi="Arial" w:cs="Arial"/>
          <w:i w:val="0"/>
          <w:sz w:val="22"/>
          <w:szCs w:val="25"/>
        </w:rPr>
        <w:t>, but says that their potential liability for trial costs creates an inevitable conflict of interest between them and Michael. It maintains that their endorsement of the settlement should therefore play no role in this Court’s examination of whether it is in Michael’s best interests to approve the settlement.</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[68]         The Public Guardian and Trustee says that it, by contrast, is able to speak to Michael’s interests with the “purity of independence”. In that guise, it argues that the overarching issue must remain the merits of the appeal, and says it is not in Michael’s interests to abandon it. It maintains that it has acknowledged the parents’ burden of costs by offering to act as litigation guardian on the appeal, and carry the responsibility for the appeal costs. It is adamant, however, that it will not assume the parents’ responsibility for the trial costs.</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 xml:space="preserve">[69]         While I do not doubt that the Public Guardian and Trustee’s position is well-intentioned, it is, with respect, artificial and misguided to judge the merits of the appeal in isolation from the financial ramifications that would arise from an unsuccessful appeal. This became abundantly clear when the </w:t>
      </w:r>
      <w:proofErr w:type="spellStart"/>
      <w:r w:rsidRPr="00301E65">
        <w:rPr>
          <w:rStyle w:val="Emphasis"/>
          <w:rFonts w:ascii="Arial" w:hAnsi="Arial" w:cs="Arial"/>
          <w:i w:val="0"/>
          <w:sz w:val="22"/>
          <w:szCs w:val="25"/>
        </w:rPr>
        <w:t>Lotockys</w:t>
      </w:r>
      <w:proofErr w:type="spellEnd"/>
      <w:r w:rsidRPr="00301E65">
        <w:rPr>
          <w:rStyle w:val="Emphasis"/>
          <w:rFonts w:ascii="Arial" w:hAnsi="Arial" w:cs="Arial"/>
          <w:i w:val="0"/>
          <w:sz w:val="22"/>
          <w:szCs w:val="25"/>
        </w:rPr>
        <w:t xml:space="preserve"> raised an argument that the offer of the Public Guardian and Trustee to undertake the appeal amounted to a determination under s. 7(3) of the Public Guardian and Trustee Act, R.S.B.C. 1996, c. 383, and that the Court should compel it to undertake the appeal on the same terms as the parents. Section 7(3) reads:</w:t>
      </w:r>
    </w:p>
    <w:p w:rsidR="00301E65" w:rsidRPr="00301E65" w:rsidRDefault="00301E65" w:rsidP="00301E65">
      <w:pPr>
        <w:pStyle w:val="scjquote"/>
        <w:shd w:val="clear" w:color="auto" w:fill="FFFFFF"/>
        <w:tabs>
          <w:tab w:val="left" w:pos="2160"/>
        </w:tabs>
        <w:spacing w:before="450" w:beforeAutospacing="0" w:after="450" w:afterAutospacing="0"/>
        <w:ind w:left="2160" w:right="1080"/>
        <w:jc w:val="both"/>
        <w:rPr>
          <w:rFonts w:ascii="Arial" w:hAnsi="Arial" w:cs="Arial"/>
          <w:i/>
          <w:sz w:val="22"/>
          <w:szCs w:val="25"/>
        </w:rPr>
      </w:pPr>
      <w:r w:rsidRPr="00301E65">
        <w:rPr>
          <w:rStyle w:val="Emphasis"/>
          <w:rFonts w:ascii="Arial" w:hAnsi="Arial" w:cs="Arial"/>
          <w:i w:val="0"/>
          <w:sz w:val="22"/>
          <w:szCs w:val="25"/>
        </w:rPr>
        <w:t>7(3)      If a litigation guardian is required for a young person under the Court Rules Act and is not otherwise provided for by the Infants Act, the Public Guardian and Trustee must act as litigation guardian for the young person if the Public Guardian and Trustee considers it is in the young person’s best interests to do so.</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 xml:space="preserve">[70]         The </w:t>
      </w:r>
      <w:proofErr w:type="spellStart"/>
      <w:r w:rsidRPr="00301E65">
        <w:rPr>
          <w:rStyle w:val="Emphasis"/>
          <w:rFonts w:ascii="Arial" w:hAnsi="Arial" w:cs="Arial"/>
          <w:i w:val="0"/>
          <w:sz w:val="22"/>
          <w:szCs w:val="25"/>
        </w:rPr>
        <w:t>Lotockys</w:t>
      </w:r>
      <w:proofErr w:type="spellEnd"/>
      <w:r w:rsidRPr="00301E65">
        <w:rPr>
          <w:rStyle w:val="Emphasis"/>
          <w:rFonts w:ascii="Arial" w:hAnsi="Arial" w:cs="Arial"/>
          <w:i w:val="0"/>
          <w:sz w:val="22"/>
          <w:szCs w:val="25"/>
        </w:rPr>
        <w:t xml:space="preserve"> argued that they were not prepared to act as Michael’s litigation guardian for the appeal due to their financial circumstances. The Public Guardian and Trustee had nevertheless decided it was in Michael’s best interests that the appeal proceed. Thus a new litigation guardian was required, and under s. 7(3) the Public Guardian and Trustee must step into that role. As a trustee charged with acting in the best interests of the young person, it cannot properly use financial considerations as a reason to abandon its statutory role. It must accordingly take on the appeal by stepping into the same shoes as the former litigation guardian, and assuming her outstanding obligation for trial costs.</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 xml:space="preserve">[71]         This argument was strenuously resisted by the Public Guardian and Trustee, and it ultimately withdrew its offer to undertake the appeal as litigation guardian and pay appeal costs, on the basis that it had not intended the offer to be an ultimate determination under s. 7(3). While its arguments were couched in terms of statutory construction, administrative policy, and budgetary constraints, I cannot resist the inference that its opposition was </w:t>
      </w:r>
      <w:proofErr w:type="spellStart"/>
      <w:r w:rsidRPr="00301E65">
        <w:rPr>
          <w:rStyle w:val="Emphasis"/>
          <w:rFonts w:ascii="Arial" w:hAnsi="Arial" w:cs="Arial"/>
          <w:i w:val="0"/>
          <w:sz w:val="22"/>
          <w:szCs w:val="25"/>
        </w:rPr>
        <w:t>fuelled</w:t>
      </w:r>
      <w:proofErr w:type="spellEnd"/>
      <w:r w:rsidRPr="00301E65">
        <w:rPr>
          <w:rStyle w:val="Emphasis"/>
          <w:rFonts w:ascii="Arial" w:hAnsi="Arial" w:cs="Arial"/>
          <w:i w:val="0"/>
          <w:sz w:val="22"/>
          <w:szCs w:val="25"/>
        </w:rPr>
        <w:t xml:space="preserve"> as well by the fact that, if the Court accepted the </w:t>
      </w:r>
      <w:proofErr w:type="spellStart"/>
      <w:r w:rsidRPr="00301E65">
        <w:rPr>
          <w:rStyle w:val="Emphasis"/>
          <w:rFonts w:ascii="Arial" w:hAnsi="Arial" w:cs="Arial"/>
          <w:i w:val="0"/>
          <w:sz w:val="22"/>
          <w:szCs w:val="25"/>
        </w:rPr>
        <w:t>Lotockys</w:t>
      </w:r>
      <w:proofErr w:type="spellEnd"/>
      <w:r w:rsidRPr="00301E65">
        <w:rPr>
          <w:rStyle w:val="Emphasis"/>
          <w:rFonts w:ascii="Arial" w:hAnsi="Arial" w:cs="Arial"/>
          <w:i w:val="0"/>
          <w:sz w:val="22"/>
          <w:szCs w:val="25"/>
        </w:rPr>
        <w:t>’ argument, it faced significantly heightened financial risks in pursuing the appeal.</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 xml:space="preserve">[72]         Essentially, it became evident that, if placed in the same position as the </w:t>
      </w:r>
      <w:proofErr w:type="spellStart"/>
      <w:r w:rsidRPr="00301E65">
        <w:rPr>
          <w:rStyle w:val="Emphasis"/>
          <w:rFonts w:ascii="Arial" w:hAnsi="Arial" w:cs="Arial"/>
          <w:i w:val="0"/>
          <w:sz w:val="22"/>
          <w:szCs w:val="25"/>
        </w:rPr>
        <w:t>Lotockys</w:t>
      </w:r>
      <w:proofErr w:type="spellEnd"/>
      <w:r w:rsidRPr="00301E65">
        <w:rPr>
          <w:rStyle w:val="Emphasis"/>
          <w:rFonts w:ascii="Arial" w:hAnsi="Arial" w:cs="Arial"/>
          <w:i w:val="0"/>
          <w:sz w:val="22"/>
          <w:szCs w:val="25"/>
        </w:rPr>
        <w:t xml:space="preserve">, the Public Guardian and Trustee would decline to act on the appeal due to the financial risks. It was also apparent that if the </w:t>
      </w:r>
      <w:proofErr w:type="spellStart"/>
      <w:r w:rsidRPr="00301E65">
        <w:rPr>
          <w:rStyle w:val="Emphasis"/>
          <w:rFonts w:ascii="Arial" w:hAnsi="Arial" w:cs="Arial"/>
          <w:i w:val="0"/>
          <w:sz w:val="22"/>
          <w:szCs w:val="25"/>
        </w:rPr>
        <w:t>Lotockys</w:t>
      </w:r>
      <w:proofErr w:type="spellEnd"/>
      <w:r w:rsidRPr="00301E65">
        <w:rPr>
          <w:rStyle w:val="Emphasis"/>
          <w:rFonts w:ascii="Arial" w:hAnsi="Arial" w:cs="Arial"/>
          <w:i w:val="0"/>
          <w:sz w:val="22"/>
          <w:szCs w:val="25"/>
        </w:rPr>
        <w:t xml:space="preserve"> could have pursued Michael’s appeal on the terms proposed by the Public Guardian and Trustee, they would have had no hesitation in doing so.</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[73]         In short, the outstanding obligation for Dr. </w:t>
      </w:r>
      <w:proofErr w:type="spellStart"/>
      <w:r w:rsidRPr="00301E65">
        <w:rPr>
          <w:rStyle w:val="Emphasis"/>
          <w:rFonts w:ascii="Arial" w:hAnsi="Arial" w:cs="Arial"/>
          <w:i w:val="0"/>
          <w:sz w:val="22"/>
          <w:szCs w:val="25"/>
        </w:rPr>
        <w:t>Markle’s</w:t>
      </w:r>
      <w:proofErr w:type="spellEnd"/>
      <w:r w:rsidRPr="00301E65">
        <w:rPr>
          <w:rStyle w:val="Emphasis"/>
          <w:rFonts w:ascii="Arial" w:hAnsi="Arial" w:cs="Arial"/>
          <w:i w:val="0"/>
          <w:sz w:val="22"/>
          <w:szCs w:val="25"/>
        </w:rPr>
        <w:t xml:space="preserve"> trial costs must play a part in deciding whether the settlement is in Michael’s best interests. While I appreciate the conflict of interest that potential liability creates for the litigation guardian, the financial burden and risks it represents cannot be ignored as the Public Guardian and Trustee advocates. His parents’ financial circumstances have significant repercussions for Michael’s well-being both now and in the future.</w:t>
      </w:r>
    </w:p>
    <w:p w:rsidR="00301E65" w:rsidRPr="00AB02BA" w:rsidRDefault="00301E65" w:rsidP="00AB02BA">
      <w:pPr>
        <w:pStyle w:val="scjnumber"/>
        <w:shd w:val="clear" w:color="auto" w:fill="FFFFFF"/>
        <w:spacing w:before="450" w:beforeAutospacing="0" w:after="450" w:afterAutospacing="0"/>
        <w:ind w:left="1440" w:right="720"/>
        <w:jc w:val="both"/>
        <w:rPr>
          <w:rFonts w:ascii="Karla" w:hAnsi="Karla"/>
          <w:color w:val="272424"/>
          <w:sz w:val="25"/>
          <w:szCs w:val="25"/>
        </w:rPr>
      </w:pPr>
      <w:r w:rsidRPr="00301E65">
        <w:rPr>
          <w:rStyle w:val="Emphasis"/>
          <w:rFonts w:ascii="Arial" w:hAnsi="Arial" w:cs="Arial"/>
          <w:i w:val="0"/>
          <w:sz w:val="22"/>
          <w:szCs w:val="25"/>
        </w:rPr>
        <w:t xml:space="preserve">[74]         The </w:t>
      </w:r>
      <w:proofErr w:type="spellStart"/>
      <w:r w:rsidRPr="00301E65">
        <w:rPr>
          <w:rStyle w:val="Emphasis"/>
          <w:rFonts w:ascii="Arial" w:hAnsi="Arial" w:cs="Arial"/>
          <w:i w:val="0"/>
          <w:sz w:val="22"/>
          <w:szCs w:val="25"/>
        </w:rPr>
        <w:t>Lotockys</w:t>
      </w:r>
      <w:proofErr w:type="spellEnd"/>
      <w:r w:rsidRPr="00301E65">
        <w:rPr>
          <w:rStyle w:val="Emphasis"/>
          <w:rFonts w:ascii="Arial" w:hAnsi="Arial" w:cs="Arial"/>
          <w:i w:val="0"/>
          <w:sz w:val="22"/>
          <w:szCs w:val="25"/>
        </w:rPr>
        <w:t xml:space="preserve"> face a potential liability for $205,000 if the appeal is unsuccessful. I earlier indicated that I view the merits of the appeal as arguable at best. I am persuaded that those factors, taken together, make it untenable to proceed with the appeal. I am satisfied that it is in Michael’s best interests to approve the proposed settlement.</w:t>
      </w:r>
    </w:p>
    <w:p w:rsidR="00FC3E68" w:rsidRPr="00997A33" w:rsidRDefault="00FC3E68" w:rsidP="00202397">
      <w:pPr>
        <w:pStyle w:val="ListParagraph"/>
        <w:numPr>
          <w:ilvl w:val="0"/>
          <w:numId w:val="20"/>
        </w:numPr>
        <w:ind w:hanging="720"/>
        <w:jc w:val="both"/>
        <w:rPr>
          <w:rFonts w:ascii="Arial" w:hAnsi="Arial" w:cs="Arial"/>
          <w:i/>
          <w:sz w:val="24"/>
          <w:szCs w:val="24"/>
        </w:rPr>
      </w:pPr>
      <w:r w:rsidRPr="00997A33">
        <w:rPr>
          <w:rFonts w:ascii="Arial" w:hAnsi="Arial" w:cs="Arial"/>
          <w:b/>
          <w:sz w:val="24"/>
          <w:szCs w:val="24"/>
        </w:rPr>
        <w:t xml:space="preserve">Settlement </w:t>
      </w:r>
      <w:r w:rsidR="00AD0F65">
        <w:rPr>
          <w:rFonts w:ascii="Arial" w:hAnsi="Arial" w:cs="Arial"/>
          <w:b/>
          <w:sz w:val="24"/>
          <w:szCs w:val="24"/>
        </w:rPr>
        <w:t>Documentation</w:t>
      </w:r>
    </w:p>
    <w:p w:rsidR="00983D81" w:rsidRDefault="00983D81" w:rsidP="003E2734">
      <w:pPr>
        <w:jc w:val="both"/>
        <w:rPr>
          <w:rFonts w:ascii="Arial" w:hAnsi="Arial" w:cs="Arial"/>
          <w:sz w:val="24"/>
          <w:szCs w:val="24"/>
        </w:rPr>
      </w:pPr>
      <w:r>
        <w:rPr>
          <w:rFonts w:ascii="Arial" w:hAnsi="Arial" w:cs="Arial"/>
          <w:sz w:val="24"/>
          <w:szCs w:val="24"/>
        </w:rPr>
        <w:t>At the time of settlement, and post-settlement, there are additional considerations that must be taken into account.</w:t>
      </w:r>
    </w:p>
    <w:p w:rsidR="00983D81" w:rsidRDefault="00983D81" w:rsidP="003E2734">
      <w:pPr>
        <w:jc w:val="both"/>
        <w:rPr>
          <w:rFonts w:ascii="Arial" w:hAnsi="Arial" w:cs="Arial"/>
          <w:sz w:val="24"/>
          <w:szCs w:val="24"/>
        </w:rPr>
      </w:pPr>
      <w:r>
        <w:rPr>
          <w:rFonts w:ascii="Arial" w:hAnsi="Arial" w:cs="Arial"/>
          <w:sz w:val="24"/>
          <w:szCs w:val="24"/>
        </w:rPr>
        <w:t>Prior to settling, it is prudent that the client is appreciative of what expenses and deductions will be made from the settlement amount: legal fees, disbursements, costs, subrogated claims, etc.</w:t>
      </w:r>
    </w:p>
    <w:p w:rsidR="00983D81" w:rsidRDefault="00983D81" w:rsidP="003E2734">
      <w:pPr>
        <w:jc w:val="both"/>
        <w:rPr>
          <w:rFonts w:ascii="Arial" w:hAnsi="Arial" w:cs="Arial"/>
          <w:sz w:val="24"/>
          <w:szCs w:val="24"/>
        </w:rPr>
      </w:pPr>
      <w:r>
        <w:rPr>
          <w:rFonts w:ascii="Arial" w:hAnsi="Arial" w:cs="Arial"/>
          <w:sz w:val="24"/>
          <w:szCs w:val="24"/>
        </w:rPr>
        <w:t xml:space="preserve">Following the settlement, the lawyer must ensure that the proper procedures have been followed – releases, consent orders, etc. and, in making the requirement payments, the settlement funds are not mismanaged. </w:t>
      </w:r>
    </w:p>
    <w:p w:rsidR="00215D5B" w:rsidRPr="00294FD0" w:rsidRDefault="00215D5B" w:rsidP="00202397">
      <w:pPr>
        <w:pStyle w:val="ListParagraph"/>
        <w:numPr>
          <w:ilvl w:val="0"/>
          <w:numId w:val="3"/>
        </w:numPr>
        <w:jc w:val="both"/>
        <w:rPr>
          <w:rFonts w:ascii="Arial" w:hAnsi="Arial" w:cs="Arial"/>
          <w:sz w:val="24"/>
          <w:szCs w:val="24"/>
        </w:rPr>
      </w:pPr>
      <w:r>
        <w:rPr>
          <w:rFonts w:ascii="Arial" w:hAnsi="Arial" w:cs="Arial"/>
          <w:b/>
          <w:sz w:val="24"/>
          <w:szCs w:val="24"/>
        </w:rPr>
        <w:t>Release</w:t>
      </w:r>
    </w:p>
    <w:p w:rsidR="00294FD0" w:rsidRDefault="00294FD0" w:rsidP="003E2734">
      <w:pPr>
        <w:pStyle w:val="ListParagraph"/>
        <w:jc w:val="both"/>
        <w:rPr>
          <w:rFonts w:ascii="Arial" w:hAnsi="Arial" w:cs="Arial"/>
          <w:b/>
          <w:sz w:val="24"/>
          <w:szCs w:val="24"/>
        </w:rPr>
      </w:pPr>
    </w:p>
    <w:p w:rsidR="006E6E34" w:rsidRPr="00874DFD" w:rsidRDefault="00294FD0" w:rsidP="00202397">
      <w:pPr>
        <w:pStyle w:val="ListParagraph"/>
        <w:numPr>
          <w:ilvl w:val="0"/>
          <w:numId w:val="4"/>
        </w:numPr>
        <w:jc w:val="both"/>
        <w:rPr>
          <w:rFonts w:ascii="Arial" w:hAnsi="Arial" w:cs="Arial"/>
          <w:b/>
          <w:sz w:val="24"/>
          <w:szCs w:val="24"/>
        </w:rPr>
      </w:pPr>
      <w:r>
        <w:rPr>
          <w:rFonts w:ascii="Arial" w:hAnsi="Arial" w:cs="Arial"/>
          <w:sz w:val="24"/>
          <w:szCs w:val="24"/>
        </w:rPr>
        <w:t>A release is signed by the parties acknowledging that they are waiving all claims in connection with the matters giving rise to the action as a term o</w:t>
      </w:r>
      <w:r w:rsidR="00874DFD">
        <w:rPr>
          <w:rFonts w:ascii="Arial" w:hAnsi="Arial" w:cs="Arial"/>
          <w:sz w:val="24"/>
          <w:szCs w:val="24"/>
        </w:rPr>
        <w:t>f the settlement;</w:t>
      </w:r>
    </w:p>
    <w:p w:rsidR="00874DFD" w:rsidRPr="006E6E34" w:rsidRDefault="00874DFD" w:rsidP="00202397">
      <w:pPr>
        <w:pStyle w:val="ListParagraph"/>
        <w:numPr>
          <w:ilvl w:val="0"/>
          <w:numId w:val="4"/>
        </w:numPr>
        <w:jc w:val="both"/>
        <w:rPr>
          <w:rFonts w:ascii="Arial" w:hAnsi="Arial" w:cs="Arial"/>
          <w:b/>
          <w:sz w:val="24"/>
          <w:szCs w:val="24"/>
        </w:rPr>
      </w:pPr>
      <w:r>
        <w:rPr>
          <w:rFonts w:ascii="Arial" w:hAnsi="Arial" w:cs="Arial"/>
          <w:sz w:val="24"/>
          <w:szCs w:val="24"/>
        </w:rPr>
        <w:t>Following the signing of a release, the plaintiff has no further claim against the defendant.</w:t>
      </w:r>
    </w:p>
    <w:p w:rsidR="00294FD0" w:rsidRPr="00294FD0" w:rsidRDefault="006E6E34" w:rsidP="003E2734">
      <w:pPr>
        <w:pStyle w:val="ListParagraph"/>
        <w:ind w:left="1080"/>
        <w:jc w:val="both"/>
        <w:rPr>
          <w:rFonts w:ascii="Arial" w:hAnsi="Arial" w:cs="Arial"/>
          <w:b/>
          <w:sz w:val="24"/>
          <w:szCs w:val="24"/>
        </w:rPr>
      </w:pPr>
      <w:r w:rsidRPr="00294FD0">
        <w:rPr>
          <w:rFonts w:ascii="Arial" w:hAnsi="Arial" w:cs="Arial"/>
          <w:b/>
          <w:sz w:val="24"/>
          <w:szCs w:val="24"/>
        </w:rPr>
        <w:t xml:space="preserve"> </w:t>
      </w:r>
    </w:p>
    <w:p w:rsidR="00294FD0" w:rsidRPr="00294FD0" w:rsidRDefault="00294FD0" w:rsidP="00202397">
      <w:pPr>
        <w:pStyle w:val="ListParagraph"/>
        <w:numPr>
          <w:ilvl w:val="0"/>
          <w:numId w:val="3"/>
        </w:numPr>
        <w:jc w:val="both"/>
        <w:rPr>
          <w:rFonts w:ascii="Arial" w:hAnsi="Arial" w:cs="Arial"/>
          <w:sz w:val="24"/>
          <w:szCs w:val="24"/>
        </w:rPr>
      </w:pPr>
      <w:r>
        <w:rPr>
          <w:rFonts w:ascii="Arial" w:hAnsi="Arial" w:cs="Arial"/>
          <w:b/>
          <w:sz w:val="24"/>
          <w:szCs w:val="24"/>
        </w:rPr>
        <w:t>Consent Dismissal Order</w:t>
      </w:r>
    </w:p>
    <w:p w:rsidR="00294FD0" w:rsidRPr="00294FD0" w:rsidRDefault="00294FD0" w:rsidP="003E2734">
      <w:pPr>
        <w:pStyle w:val="ListParagraph"/>
        <w:jc w:val="both"/>
        <w:rPr>
          <w:rFonts w:ascii="Arial" w:hAnsi="Arial" w:cs="Arial"/>
          <w:sz w:val="24"/>
          <w:szCs w:val="24"/>
        </w:rPr>
      </w:pPr>
    </w:p>
    <w:p w:rsidR="00294FD0" w:rsidRDefault="00294FD0" w:rsidP="00202397">
      <w:pPr>
        <w:pStyle w:val="ListParagraph"/>
        <w:numPr>
          <w:ilvl w:val="0"/>
          <w:numId w:val="4"/>
        </w:numPr>
        <w:jc w:val="both"/>
        <w:rPr>
          <w:rFonts w:ascii="Arial" w:hAnsi="Arial" w:cs="Arial"/>
          <w:sz w:val="24"/>
          <w:szCs w:val="24"/>
        </w:rPr>
      </w:pPr>
      <w:r w:rsidRPr="00294FD0">
        <w:rPr>
          <w:rFonts w:ascii="Arial" w:hAnsi="Arial" w:cs="Arial"/>
          <w:sz w:val="24"/>
          <w:szCs w:val="24"/>
        </w:rPr>
        <w:t>If pleadings have been filed the parties must sign and file a Consent Dismissal Order pursuant to Rule 8-3</w:t>
      </w:r>
      <w:r>
        <w:rPr>
          <w:rFonts w:ascii="Arial" w:hAnsi="Arial" w:cs="Arial"/>
          <w:sz w:val="24"/>
          <w:szCs w:val="24"/>
        </w:rPr>
        <w:t>;</w:t>
      </w:r>
    </w:p>
    <w:p w:rsidR="00294FD0" w:rsidRPr="00294FD0" w:rsidRDefault="00294FD0" w:rsidP="00202397">
      <w:pPr>
        <w:pStyle w:val="ListParagraph"/>
        <w:numPr>
          <w:ilvl w:val="0"/>
          <w:numId w:val="4"/>
        </w:numPr>
        <w:jc w:val="both"/>
        <w:rPr>
          <w:rFonts w:ascii="Arial" w:hAnsi="Arial" w:cs="Arial"/>
          <w:sz w:val="24"/>
          <w:szCs w:val="24"/>
        </w:rPr>
      </w:pPr>
      <w:r>
        <w:rPr>
          <w:rFonts w:ascii="Arial" w:hAnsi="Arial" w:cs="Arial"/>
          <w:sz w:val="24"/>
          <w:szCs w:val="24"/>
        </w:rPr>
        <w:t xml:space="preserve">The order states that the action settled and the parties have agreed to have the court dismiss </w:t>
      </w:r>
      <w:r w:rsidR="006E6E34">
        <w:rPr>
          <w:rFonts w:ascii="Arial" w:hAnsi="Arial" w:cs="Arial"/>
          <w:sz w:val="24"/>
          <w:szCs w:val="24"/>
        </w:rPr>
        <w:t>the claim.</w:t>
      </w:r>
    </w:p>
    <w:p w:rsidR="00294FD0" w:rsidRDefault="00294FD0" w:rsidP="003E2734">
      <w:pPr>
        <w:pStyle w:val="ListParagraph"/>
        <w:jc w:val="both"/>
        <w:rPr>
          <w:rFonts w:ascii="Arial" w:hAnsi="Arial" w:cs="Arial"/>
          <w:sz w:val="24"/>
          <w:szCs w:val="24"/>
        </w:rPr>
      </w:pPr>
    </w:p>
    <w:p w:rsidR="00215D5B" w:rsidRPr="00215D5B" w:rsidRDefault="00215D5B" w:rsidP="00202397">
      <w:pPr>
        <w:pStyle w:val="ListParagraph"/>
        <w:numPr>
          <w:ilvl w:val="0"/>
          <w:numId w:val="3"/>
        </w:numPr>
        <w:jc w:val="both"/>
        <w:rPr>
          <w:rFonts w:ascii="Arial" w:hAnsi="Arial" w:cs="Arial"/>
          <w:sz w:val="24"/>
          <w:szCs w:val="24"/>
        </w:rPr>
      </w:pPr>
      <w:r>
        <w:rPr>
          <w:rFonts w:ascii="Arial" w:hAnsi="Arial" w:cs="Arial"/>
          <w:b/>
          <w:sz w:val="24"/>
          <w:szCs w:val="24"/>
        </w:rPr>
        <w:t>Consent Dismissal Order versus Notice of Discontinuance</w:t>
      </w:r>
    </w:p>
    <w:p w:rsidR="00215D5B" w:rsidRPr="00215D5B" w:rsidRDefault="00215D5B" w:rsidP="003E2734">
      <w:pPr>
        <w:pStyle w:val="ListParagraph"/>
        <w:jc w:val="both"/>
        <w:rPr>
          <w:rFonts w:ascii="Arial" w:hAnsi="Arial" w:cs="Arial"/>
          <w:sz w:val="24"/>
          <w:szCs w:val="24"/>
        </w:rPr>
      </w:pPr>
    </w:p>
    <w:p w:rsidR="00294FD0" w:rsidRPr="00294FD0" w:rsidRDefault="00294FD0" w:rsidP="00202397">
      <w:pPr>
        <w:pStyle w:val="ListParagraph"/>
        <w:numPr>
          <w:ilvl w:val="0"/>
          <w:numId w:val="4"/>
        </w:numPr>
        <w:jc w:val="both"/>
        <w:rPr>
          <w:rFonts w:ascii="Arial" w:hAnsi="Arial" w:cs="Arial"/>
          <w:i/>
          <w:sz w:val="24"/>
          <w:szCs w:val="24"/>
        </w:rPr>
      </w:pPr>
      <w:r>
        <w:rPr>
          <w:rFonts w:ascii="Arial" w:hAnsi="Arial" w:cs="Arial"/>
          <w:sz w:val="24"/>
          <w:szCs w:val="24"/>
        </w:rPr>
        <w:t xml:space="preserve">A notice of discontinuance, discontinues the claim but does not waive or extinguish the party’s rights; </w:t>
      </w:r>
    </w:p>
    <w:p w:rsidR="00215D5B" w:rsidRPr="00215D5B" w:rsidRDefault="00294FD0" w:rsidP="00202397">
      <w:pPr>
        <w:pStyle w:val="ListParagraph"/>
        <w:numPr>
          <w:ilvl w:val="0"/>
          <w:numId w:val="4"/>
        </w:numPr>
        <w:jc w:val="both"/>
        <w:rPr>
          <w:rFonts w:ascii="Arial" w:hAnsi="Arial" w:cs="Arial"/>
          <w:i/>
          <w:sz w:val="24"/>
          <w:szCs w:val="24"/>
        </w:rPr>
      </w:pPr>
      <w:r>
        <w:rPr>
          <w:rFonts w:ascii="Arial" w:hAnsi="Arial" w:cs="Arial"/>
          <w:sz w:val="24"/>
          <w:szCs w:val="24"/>
        </w:rPr>
        <w:t>It p</w:t>
      </w:r>
      <w:r w:rsidR="00215D5B" w:rsidRPr="00215D5B">
        <w:rPr>
          <w:rFonts w:ascii="Arial" w:hAnsi="Arial" w:cs="Arial"/>
          <w:sz w:val="24"/>
          <w:szCs w:val="24"/>
        </w:rPr>
        <w:t>reserves the plaintiff</w:t>
      </w:r>
      <w:r w:rsidR="00215D5B">
        <w:rPr>
          <w:rFonts w:ascii="Arial" w:hAnsi="Arial" w:cs="Arial"/>
          <w:sz w:val="24"/>
          <w:szCs w:val="24"/>
        </w:rPr>
        <w:t>’s right to re-file its claim;</w:t>
      </w:r>
    </w:p>
    <w:p w:rsidR="00215D5B" w:rsidRPr="00F170DB" w:rsidRDefault="00215D5B" w:rsidP="00202397">
      <w:pPr>
        <w:pStyle w:val="ListParagraph"/>
        <w:numPr>
          <w:ilvl w:val="0"/>
          <w:numId w:val="4"/>
        </w:numPr>
        <w:jc w:val="both"/>
        <w:rPr>
          <w:rFonts w:ascii="Arial" w:hAnsi="Arial" w:cs="Arial"/>
          <w:i/>
          <w:sz w:val="24"/>
          <w:szCs w:val="24"/>
        </w:rPr>
      </w:pPr>
      <w:r>
        <w:rPr>
          <w:rFonts w:ascii="Arial" w:hAnsi="Arial" w:cs="Arial"/>
          <w:sz w:val="24"/>
          <w:szCs w:val="24"/>
        </w:rPr>
        <w:t>Can be frus</w:t>
      </w:r>
      <w:r w:rsidR="006E6E34">
        <w:rPr>
          <w:rFonts w:ascii="Arial" w:hAnsi="Arial" w:cs="Arial"/>
          <w:sz w:val="24"/>
          <w:szCs w:val="24"/>
        </w:rPr>
        <w:t xml:space="preserve">trated by a limitations </w:t>
      </w:r>
      <w:proofErr w:type="spellStart"/>
      <w:r w:rsidR="006E6E34">
        <w:rPr>
          <w:rFonts w:ascii="Arial" w:hAnsi="Arial" w:cs="Arial"/>
          <w:sz w:val="24"/>
          <w:szCs w:val="24"/>
        </w:rPr>
        <w:t>defence</w:t>
      </w:r>
      <w:proofErr w:type="spellEnd"/>
      <w:r w:rsidR="006E6E34">
        <w:rPr>
          <w:rFonts w:ascii="Arial" w:hAnsi="Arial" w:cs="Arial"/>
          <w:sz w:val="24"/>
          <w:szCs w:val="24"/>
        </w:rPr>
        <w:t>.</w:t>
      </w:r>
    </w:p>
    <w:p w:rsidR="00997A33" w:rsidRDefault="00997A33" w:rsidP="00997A33">
      <w:pPr>
        <w:jc w:val="both"/>
        <w:rPr>
          <w:rFonts w:ascii="Arial" w:hAnsi="Arial" w:cs="Arial"/>
          <w:i/>
          <w:sz w:val="24"/>
          <w:szCs w:val="24"/>
        </w:rPr>
      </w:pPr>
    </w:p>
    <w:p w:rsidR="00FC3E68" w:rsidRPr="00997A33" w:rsidRDefault="00FC3E68" w:rsidP="00202397">
      <w:pPr>
        <w:pStyle w:val="ListParagraph"/>
        <w:numPr>
          <w:ilvl w:val="0"/>
          <w:numId w:val="20"/>
        </w:numPr>
        <w:ind w:hanging="720"/>
        <w:jc w:val="both"/>
        <w:rPr>
          <w:rFonts w:ascii="Arial" w:hAnsi="Arial" w:cs="Arial"/>
          <w:b/>
          <w:sz w:val="24"/>
          <w:szCs w:val="24"/>
        </w:rPr>
      </w:pPr>
      <w:r w:rsidRPr="00997A33">
        <w:rPr>
          <w:rFonts w:ascii="Arial" w:hAnsi="Arial" w:cs="Arial"/>
          <w:b/>
          <w:sz w:val="24"/>
          <w:szCs w:val="24"/>
        </w:rPr>
        <w:t>Undertakings re: Settlement Funds</w:t>
      </w:r>
    </w:p>
    <w:p w:rsidR="0024625E" w:rsidRDefault="0024625E" w:rsidP="003E2734">
      <w:pPr>
        <w:jc w:val="both"/>
        <w:rPr>
          <w:rFonts w:ascii="Arial" w:hAnsi="Arial" w:cs="Arial"/>
          <w:sz w:val="24"/>
          <w:szCs w:val="24"/>
        </w:rPr>
      </w:pPr>
      <w:r>
        <w:rPr>
          <w:rFonts w:ascii="Arial" w:hAnsi="Arial" w:cs="Arial"/>
          <w:sz w:val="24"/>
          <w:szCs w:val="24"/>
        </w:rPr>
        <w:t xml:space="preserve">After a settlement is reached, </w:t>
      </w:r>
      <w:r w:rsidR="00F170DB">
        <w:rPr>
          <w:rFonts w:ascii="Arial" w:hAnsi="Arial" w:cs="Arial"/>
          <w:sz w:val="24"/>
          <w:szCs w:val="24"/>
        </w:rPr>
        <w:t xml:space="preserve">funds must then be </w:t>
      </w:r>
      <w:r>
        <w:rPr>
          <w:rFonts w:ascii="Arial" w:hAnsi="Arial" w:cs="Arial"/>
          <w:sz w:val="24"/>
          <w:szCs w:val="24"/>
        </w:rPr>
        <w:t>delivered</w:t>
      </w:r>
      <w:r w:rsidR="00F170DB">
        <w:rPr>
          <w:rFonts w:ascii="Arial" w:hAnsi="Arial" w:cs="Arial"/>
          <w:sz w:val="24"/>
          <w:szCs w:val="24"/>
        </w:rPr>
        <w:t xml:space="preserve">. </w:t>
      </w:r>
    </w:p>
    <w:p w:rsidR="00F170DB" w:rsidRDefault="0024625E" w:rsidP="003E2734">
      <w:pPr>
        <w:jc w:val="both"/>
        <w:rPr>
          <w:rFonts w:ascii="Arial" w:hAnsi="Arial" w:cs="Arial"/>
          <w:sz w:val="24"/>
          <w:szCs w:val="24"/>
        </w:rPr>
      </w:pPr>
      <w:r>
        <w:rPr>
          <w:rFonts w:ascii="Arial" w:hAnsi="Arial" w:cs="Arial"/>
          <w:sz w:val="24"/>
          <w:szCs w:val="24"/>
        </w:rPr>
        <w:t>As a matter of general practice</w:t>
      </w:r>
      <w:r w:rsidR="00F170DB">
        <w:rPr>
          <w:rFonts w:ascii="Arial" w:hAnsi="Arial" w:cs="Arial"/>
          <w:sz w:val="24"/>
          <w:szCs w:val="24"/>
        </w:rPr>
        <w:t>, the defendant issu</w:t>
      </w:r>
      <w:r>
        <w:rPr>
          <w:rFonts w:ascii="Arial" w:hAnsi="Arial" w:cs="Arial"/>
          <w:sz w:val="24"/>
          <w:szCs w:val="24"/>
        </w:rPr>
        <w:t xml:space="preserve">es a </w:t>
      </w:r>
      <w:proofErr w:type="spellStart"/>
      <w:r>
        <w:rPr>
          <w:rFonts w:ascii="Arial" w:hAnsi="Arial" w:cs="Arial"/>
          <w:sz w:val="24"/>
          <w:szCs w:val="24"/>
        </w:rPr>
        <w:t>cheque</w:t>
      </w:r>
      <w:proofErr w:type="spellEnd"/>
      <w:r>
        <w:rPr>
          <w:rFonts w:ascii="Arial" w:hAnsi="Arial" w:cs="Arial"/>
          <w:sz w:val="24"/>
          <w:szCs w:val="24"/>
        </w:rPr>
        <w:t xml:space="preserve"> to the plaintiff’s l</w:t>
      </w:r>
      <w:r w:rsidR="00F170DB">
        <w:rPr>
          <w:rFonts w:ascii="Arial" w:hAnsi="Arial" w:cs="Arial"/>
          <w:sz w:val="24"/>
          <w:szCs w:val="24"/>
        </w:rPr>
        <w:t xml:space="preserve">awyer </w:t>
      </w:r>
      <w:r>
        <w:rPr>
          <w:rFonts w:ascii="Arial" w:hAnsi="Arial" w:cs="Arial"/>
          <w:sz w:val="24"/>
          <w:szCs w:val="24"/>
        </w:rPr>
        <w:t>“</w:t>
      </w:r>
      <w:r w:rsidR="00F170DB">
        <w:rPr>
          <w:rFonts w:ascii="Arial" w:hAnsi="Arial" w:cs="Arial"/>
          <w:sz w:val="24"/>
          <w:szCs w:val="24"/>
        </w:rPr>
        <w:t>in trust</w:t>
      </w:r>
      <w:r>
        <w:rPr>
          <w:rFonts w:ascii="Arial" w:hAnsi="Arial" w:cs="Arial"/>
          <w:sz w:val="24"/>
          <w:szCs w:val="24"/>
        </w:rPr>
        <w:t>”</w:t>
      </w:r>
      <w:r w:rsidR="00F170DB">
        <w:rPr>
          <w:rFonts w:ascii="Arial" w:hAnsi="Arial" w:cs="Arial"/>
          <w:sz w:val="24"/>
          <w:szCs w:val="24"/>
        </w:rPr>
        <w:t>, on the undertaking that the payment</w:t>
      </w:r>
      <w:r>
        <w:rPr>
          <w:rFonts w:ascii="Arial" w:hAnsi="Arial" w:cs="Arial"/>
          <w:sz w:val="24"/>
          <w:szCs w:val="24"/>
        </w:rPr>
        <w:t xml:space="preserve"> will be distributed on the terms required, including return delivery of a signed release. The l</w:t>
      </w:r>
      <w:r w:rsidR="00F170DB">
        <w:rPr>
          <w:rFonts w:ascii="Arial" w:hAnsi="Arial" w:cs="Arial"/>
          <w:sz w:val="24"/>
          <w:szCs w:val="24"/>
        </w:rPr>
        <w:t>awyer will then pay out the required disbursements and fees, and pay the remaining to the client.</w:t>
      </w:r>
    </w:p>
    <w:p w:rsidR="00F170DB" w:rsidRDefault="00F170DB" w:rsidP="003E2734">
      <w:pPr>
        <w:jc w:val="both"/>
        <w:rPr>
          <w:rFonts w:ascii="Arial" w:hAnsi="Arial" w:cs="Arial"/>
          <w:sz w:val="24"/>
          <w:szCs w:val="24"/>
        </w:rPr>
      </w:pPr>
      <w:r>
        <w:rPr>
          <w:rFonts w:ascii="Arial" w:hAnsi="Arial" w:cs="Arial"/>
          <w:sz w:val="24"/>
          <w:szCs w:val="24"/>
        </w:rPr>
        <w:t xml:space="preserve">The most common areas of complaints against lawyers include breaches of undertakings and disputes over fees and accounts. </w:t>
      </w:r>
    </w:p>
    <w:p w:rsidR="00F170DB" w:rsidRDefault="00F170DB" w:rsidP="003E2734">
      <w:pPr>
        <w:jc w:val="both"/>
        <w:rPr>
          <w:rFonts w:ascii="Arial" w:hAnsi="Arial" w:cs="Arial"/>
          <w:sz w:val="24"/>
          <w:szCs w:val="24"/>
        </w:rPr>
      </w:pPr>
      <w:r>
        <w:rPr>
          <w:rFonts w:ascii="Arial" w:hAnsi="Arial" w:cs="Arial"/>
          <w:sz w:val="24"/>
          <w:szCs w:val="24"/>
        </w:rPr>
        <w:t xml:space="preserve">In </w:t>
      </w:r>
      <w:r>
        <w:rPr>
          <w:rFonts w:ascii="Arial" w:hAnsi="Arial" w:cs="Arial"/>
          <w:sz w:val="24"/>
          <w:szCs w:val="24"/>
          <w:u w:val="single"/>
        </w:rPr>
        <w:t>2015 LSBC 15</w:t>
      </w:r>
      <w:r w:rsidR="0024625E">
        <w:rPr>
          <w:rFonts w:ascii="Arial" w:hAnsi="Arial" w:cs="Arial"/>
          <w:sz w:val="24"/>
          <w:szCs w:val="24"/>
        </w:rPr>
        <w:t xml:space="preserve"> the S</w:t>
      </w:r>
      <w:r>
        <w:rPr>
          <w:rFonts w:ascii="Arial" w:hAnsi="Arial" w:cs="Arial"/>
          <w:sz w:val="24"/>
          <w:szCs w:val="24"/>
        </w:rPr>
        <w:t>aw society sanctioned a lawyer for breach of undertakings and mismanagement of settlement funds.</w:t>
      </w:r>
    </w:p>
    <w:p w:rsidR="00F170DB" w:rsidRDefault="0024625E" w:rsidP="00202397">
      <w:pPr>
        <w:pStyle w:val="ListParagraph"/>
        <w:numPr>
          <w:ilvl w:val="0"/>
          <w:numId w:val="6"/>
        </w:numPr>
        <w:jc w:val="both"/>
        <w:rPr>
          <w:rFonts w:ascii="Arial" w:hAnsi="Arial" w:cs="Arial"/>
          <w:sz w:val="24"/>
          <w:szCs w:val="24"/>
        </w:rPr>
      </w:pPr>
      <w:r>
        <w:rPr>
          <w:rFonts w:ascii="Arial" w:hAnsi="Arial" w:cs="Arial"/>
          <w:sz w:val="24"/>
          <w:szCs w:val="24"/>
        </w:rPr>
        <w:t>The lawyer had his own law c</w:t>
      </w:r>
      <w:r w:rsidR="005F7BD1">
        <w:rPr>
          <w:rFonts w:ascii="Arial" w:hAnsi="Arial" w:cs="Arial"/>
          <w:sz w:val="24"/>
          <w:szCs w:val="24"/>
        </w:rPr>
        <w:t xml:space="preserve">orporation but had a partnership/worked with a separate </w:t>
      </w:r>
      <w:r>
        <w:rPr>
          <w:rFonts w:ascii="Arial" w:hAnsi="Arial" w:cs="Arial"/>
          <w:sz w:val="24"/>
          <w:szCs w:val="24"/>
        </w:rPr>
        <w:t>law firm</w:t>
      </w:r>
      <w:r w:rsidR="005F7BD1">
        <w:rPr>
          <w:rFonts w:ascii="Arial" w:hAnsi="Arial" w:cs="Arial"/>
          <w:sz w:val="24"/>
          <w:szCs w:val="24"/>
        </w:rPr>
        <w:t>;</w:t>
      </w:r>
    </w:p>
    <w:p w:rsidR="005F7BD1" w:rsidRDefault="005F7BD1" w:rsidP="00202397">
      <w:pPr>
        <w:pStyle w:val="ListParagraph"/>
        <w:numPr>
          <w:ilvl w:val="0"/>
          <w:numId w:val="6"/>
        </w:numPr>
        <w:jc w:val="both"/>
        <w:rPr>
          <w:rFonts w:ascii="Arial" w:hAnsi="Arial" w:cs="Arial"/>
          <w:sz w:val="24"/>
          <w:szCs w:val="24"/>
        </w:rPr>
      </w:pPr>
      <w:r>
        <w:rPr>
          <w:rFonts w:ascii="Arial" w:hAnsi="Arial" w:cs="Arial"/>
          <w:sz w:val="24"/>
          <w:szCs w:val="24"/>
        </w:rPr>
        <w:t>They had a 50-50 fee split agreement;</w:t>
      </w:r>
    </w:p>
    <w:p w:rsidR="005F7BD1" w:rsidRDefault="005F7BD1" w:rsidP="00202397">
      <w:pPr>
        <w:pStyle w:val="ListParagraph"/>
        <w:numPr>
          <w:ilvl w:val="0"/>
          <w:numId w:val="6"/>
        </w:numPr>
        <w:jc w:val="both"/>
        <w:rPr>
          <w:rFonts w:ascii="Arial" w:hAnsi="Arial" w:cs="Arial"/>
          <w:sz w:val="24"/>
          <w:szCs w:val="24"/>
        </w:rPr>
      </w:pPr>
      <w:r>
        <w:rPr>
          <w:rFonts w:ascii="Arial" w:hAnsi="Arial" w:cs="Arial"/>
          <w:sz w:val="24"/>
          <w:szCs w:val="24"/>
        </w:rPr>
        <w:t>Funds would be paid into the Law Firm, and then the Law Firm would pay him 50%;</w:t>
      </w:r>
    </w:p>
    <w:p w:rsidR="005F7BD1" w:rsidRDefault="005F7BD1" w:rsidP="00202397">
      <w:pPr>
        <w:pStyle w:val="ListParagraph"/>
        <w:numPr>
          <w:ilvl w:val="0"/>
          <w:numId w:val="6"/>
        </w:numPr>
        <w:jc w:val="both"/>
        <w:rPr>
          <w:rFonts w:ascii="Arial" w:hAnsi="Arial" w:cs="Arial"/>
          <w:sz w:val="24"/>
          <w:szCs w:val="24"/>
        </w:rPr>
      </w:pPr>
      <w:r>
        <w:rPr>
          <w:rFonts w:ascii="Arial" w:hAnsi="Arial" w:cs="Arial"/>
          <w:sz w:val="24"/>
          <w:szCs w:val="24"/>
        </w:rPr>
        <w:t>Statement of account, legal fees, and payment to the client was all processed through the Law Firm’s account;</w:t>
      </w:r>
    </w:p>
    <w:p w:rsidR="005F7BD1" w:rsidRDefault="005F7BD1" w:rsidP="00202397">
      <w:pPr>
        <w:pStyle w:val="ListParagraph"/>
        <w:numPr>
          <w:ilvl w:val="0"/>
          <w:numId w:val="6"/>
        </w:numPr>
        <w:jc w:val="both"/>
        <w:rPr>
          <w:rFonts w:ascii="Arial" w:hAnsi="Arial" w:cs="Arial"/>
          <w:sz w:val="24"/>
          <w:szCs w:val="24"/>
        </w:rPr>
      </w:pPr>
      <w:r>
        <w:rPr>
          <w:rFonts w:ascii="Arial" w:hAnsi="Arial" w:cs="Arial"/>
          <w:sz w:val="24"/>
          <w:szCs w:val="24"/>
        </w:rPr>
        <w:t xml:space="preserve">Following the conclusion of a client’s file, the Lawyer instructed DC to issue a </w:t>
      </w:r>
      <w:proofErr w:type="spellStart"/>
      <w:r>
        <w:rPr>
          <w:rFonts w:ascii="Arial" w:hAnsi="Arial" w:cs="Arial"/>
          <w:sz w:val="24"/>
          <w:szCs w:val="24"/>
        </w:rPr>
        <w:t>cheque</w:t>
      </w:r>
      <w:proofErr w:type="spellEnd"/>
      <w:r>
        <w:rPr>
          <w:rFonts w:ascii="Arial" w:hAnsi="Arial" w:cs="Arial"/>
          <w:sz w:val="24"/>
          <w:szCs w:val="24"/>
        </w:rPr>
        <w:t xml:space="preserve"> to his law corporation rather than the Law Firm;</w:t>
      </w:r>
    </w:p>
    <w:p w:rsidR="005F7BD1" w:rsidRDefault="003C63E6" w:rsidP="00202397">
      <w:pPr>
        <w:pStyle w:val="ListParagraph"/>
        <w:numPr>
          <w:ilvl w:val="0"/>
          <w:numId w:val="6"/>
        </w:numPr>
        <w:jc w:val="both"/>
        <w:rPr>
          <w:rFonts w:ascii="Arial" w:hAnsi="Arial" w:cs="Arial"/>
          <w:sz w:val="24"/>
          <w:szCs w:val="24"/>
        </w:rPr>
      </w:pPr>
      <w:proofErr w:type="spellStart"/>
      <w:r>
        <w:rPr>
          <w:rFonts w:ascii="Arial" w:hAnsi="Arial" w:cs="Arial"/>
          <w:sz w:val="24"/>
          <w:szCs w:val="24"/>
        </w:rPr>
        <w:t>Cheque</w:t>
      </w:r>
      <w:proofErr w:type="spellEnd"/>
      <w:r>
        <w:rPr>
          <w:rFonts w:ascii="Arial" w:hAnsi="Arial" w:cs="Arial"/>
          <w:sz w:val="24"/>
          <w:szCs w:val="24"/>
        </w:rPr>
        <w:t xml:space="preserve"> was forwarded on the Lawyer’s undertaking not to release the funds to the client until the release and consent dismissal order had been executed;</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 xml:space="preserve">The Lawyer breached this, depositing the </w:t>
      </w:r>
      <w:proofErr w:type="spellStart"/>
      <w:r>
        <w:rPr>
          <w:rFonts w:ascii="Arial" w:hAnsi="Arial" w:cs="Arial"/>
          <w:sz w:val="24"/>
          <w:szCs w:val="24"/>
        </w:rPr>
        <w:t>cheque</w:t>
      </w:r>
      <w:proofErr w:type="spellEnd"/>
      <w:r>
        <w:rPr>
          <w:rFonts w:ascii="Arial" w:hAnsi="Arial" w:cs="Arial"/>
          <w:sz w:val="24"/>
          <w:szCs w:val="24"/>
        </w:rPr>
        <w:t xml:space="preserve"> into his own account and paying out the client;</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The legal fees were calculated at $88,000; however, he instructed his paralegal and the accounting department that only $44,000 were claimed;</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He kept the remaining $44,000 and then paid out the remainder to the law firm;</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The Law Firm then paid him back $22,000 – 50% of the legal fees charged;</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 xml:space="preserve">He eventually paid back the Law Firm – when questioned about it – at this point he had already left the firm and started his own; </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The Law Firm brought a complaint</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He was sanctioned for:</w:t>
      </w:r>
    </w:p>
    <w:p w:rsidR="003C63E6" w:rsidRDefault="003C63E6" w:rsidP="00202397">
      <w:pPr>
        <w:pStyle w:val="ListParagraph"/>
        <w:numPr>
          <w:ilvl w:val="1"/>
          <w:numId w:val="6"/>
        </w:numPr>
        <w:jc w:val="both"/>
        <w:rPr>
          <w:rFonts w:ascii="Arial" w:hAnsi="Arial" w:cs="Arial"/>
          <w:sz w:val="24"/>
          <w:szCs w:val="24"/>
        </w:rPr>
      </w:pPr>
      <w:r>
        <w:rPr>
          <w:rFonts w:ascii="Arial" w:hAnsi="Arial" w:cs="Arial"/>
          <w:sz w:val="24"/>
          <w:szCs w:val="24"/>
        </w:rPr>
        <w:t>Failure to deposit settlement funds into the trust account (of the Law Firm);</w:t>
      </w:r>
    </w:p>
    <w:p w:rsidR="003C63E6" w:rsidRDefault="003C63E6" w:rsidP="00202397">
      <w:pPr>
        <w:pStyle w:val="ListParagraph"/>
        <w:numPr>
          <w:ilvl w:val="1"/>
          <w:numId w:val="6"/>
        </w:numPr>
        <w:jc w:val="both"/>
        <w:rPr>
          <w:rFonts w:ascii="Arial" w:hAnsi="Arial" w:cs="Arial"/>
          <w:sz w:val="24"/>
          <w:szCs w:val="24"/>
        </w:rPr>
      </w:pPr>
      <w:r>
        <w:rPr>
          <w:rFonts w:ascii="Arial" w:hAnsi="Arial" w:cs="Arial"/>
          <w:sz w:val="24"/>
          <w:szCs w:val="24"/>
        </w:rPr>
        <w:t>Breach of implied undertaking;</w:t>
      </w:r>
    </w:p>
    <w:p w:rsidR="003C63E6" w:rsidRDefault="003C63E6" w:rsidP="00202397">
      <w:pPr>
        <w:pStyle w:val="ListParagraph"/>
        <w:numPr>
          <w:ilvl w:val="1"/>
          <w:numId w:val="6"/>
        </w:numPr>
        <w:jc w:val="both"/>
        <w:rPr>
          <w:rFonts w:ascii="Arial" w:hAnsi="Arial" w:cs="Arial"/>
          <w:sz w:val="24"/>
          <w:szCs w:val="24"/>
        </w:rPr>
      </w:pPr>
      <w:r>
        <w:rPr>
          <w:rFonts w:ascii="Arial" w:hAnsi="Arial" w:cs="Arial"/>
          <w:sz w:val="24"/>
          <w:szCs w:val="24"/>
        </w:rPr>
        <w:t>Failure to account to client for trust funds;</w:t>
      </w:r>
    </w:p>
    <w:p w:rsidR="003C63E6" w:rsidRDefault="003C63E6" w:rsidP="00202397">
      <w:pPr>
        <w:pStyle w:val="ListParagraph"/>
        <w:numPr>
          <w:ilvl w:val="1"/>
          <w:numId w:val="6"/>
        </w:numPr>
        <w:jc w:val="both"/>
        <w:rPr>
          <w:rFonts w:ascii="Arial" w:hAnsi="Arial" w:cs="Arial"/>
          <w:sz w:val="24"/>
          <w:szCs w:val="24"/>
        </w:rPr>
      </w:pPr>
      <w:r>
        <w:rPr>
          <w:rFonts w:ascii="Arial" w:hAnsi="Arial" w:cs="Arial"/>
          <w:sz w:val="24"/>
          <w:szCs w:val="24"/>
        </w:rPr>
        <w:t>Questionable conduct.</w:t>
      </w:r>
      <w:r w:rsidRPr="00703A31">
        <w:rPr>
          <w:rFonts w:ascii="Arial" w:hAnsi="Arial" w:cs="Arial"/>
          <w:sz w:val="24"/>
          <w:szCs w:val="24"/>
        </w:rPr>
        <w:t xml:space="preserve"> </w:t>
      </w:r>
    </w:p>
    <w:p w:rsidR="00983D81" w:rsidRDefault="00983D81" w:rsidP="003E2734">
      <w:pPr>
        <w:pStyle w:val="ListParagraph"/>
        <w:ind w:left="1440"/>
        <w:jc w:val="both"/>
        <w:rPr>
          <w:rFonts w:ascii="Arial" w:hAnsi="Arial" w:cs="Arial"/>
          <w:sz w:val="24"/>
          <w:szCs w:val="24"/>
        </w:rPr>
      </w:pPr>
    </w:p>
    <w:p w:rsidR="00983D81" w:rsidRPr="00997A33" w:rsidRDefault="00983D81" w:rsidP="00202397">
      <w:pPr>
        <w:pStyle w:val="ListParagraph"/>
        <w:numPr>
          <w:ilvl w:val="0"/>
          <w:numId w:val="20"/>
        </w:numPr>
        <w:ind w:hanging="720"/>
        <w:jc w:val="both"/>
        <w:rPr>
          <w:rFonts w:ascii="Arial" w:hAnsi="Arial" w:cs="Arial"/>
          <w:b/>
          <w:sz w:val="24"/>
          <w:szCs w:val="24"/>
        </w:rPr>
      </w:pPr>
      <w:r w:rsidRPr="00997A33">
        <w:rPr>
          <w:rFonts w:ascii="Arial" w:hAnsi="Arial" w:cs="Arial"/>
          <w:b/>
          <w:sz w:val="24"/>
          <w:szCs w:val="24"/>
        </w:rPr>
        <w:t>Contingency Fee Agreements</w:t>
      </w:r>
    </w:p>
    <w:p w:rsidR="00983D81" w:rsidRDefault="00983D81" w:rsidP="003E2734">
      <w:pPr>
        <w:pStyle w:val="ListParagraph"/>
        <w:jc w:val="both"/>
        <w:rPr>
          <w:rFonts w:ascii="Arial" w:hAnsi="Arial" w:cs="Arial"/>
          <w:b/>
          <w:sz w:val="24"/>
          <w:szCs w:val="24"/>
        </w:rPr>
      </w:pPr>
    </w:p>
    <w:p w:rsidR="00983D81" w:rsidRPr="00983D81" w:rsidRDefault="00983D81" w:rsidP="00202397">
      <w:pPr>
        <w:pStyle w:val="ListParagraph"/>
        <w:numPr>
          <w:ilvl w:val="0"/>
          <w:numId w:val="11"/>
        </w:numPr>
        <w:jc w:val="both"/>
        <w:rPr>
          <w:rFonts w:ascii="Arial" w:hAnsi="Arial" w:cs="Arial"/>
          <w:sz w:val="24"/>
          <w:szCs w:val="24"/>
        </w:rPr>
      </w:pPr>
      <w:r w:rsidRPr="00983D81">
        <w:rPr>
          <w:rFonts w:ascii="Arial" w:hAnsi="Arial" w:cs="Arial"/>
          <w:sz w:val="24"/>
          <w:szCs w:val="24"/>
        </w:rPr>
        <w:t>The Contingency Fee Agreement that is signed initially with the client will indicate the % tha</w:t>
      </w:r>
      <w:r>
        <w:rPr>
          <w:rFonts w:ascii="Arial" w:hAnsi="Arial" w:cs="Arial"/>
          <w:sz w:val="24"/>
          <w:szCs w:val="24"/>
        </w:rPr>
        <w:t>t is to be paid for legal fees;</w:t>
      </w:r>
    </w:p>
    <w:p w:rsidR="00983D81" w:rsidRDefault="00983D81" w:rsidP="00202397">
      <w:pPr>
        <w:pStyle w:val="ListParagraph"/>
        <w:numPr>
          <w:ilvl w:val="0"/>
          <w:numId w:val="11"/>
        </w:numPr>
        <w:jc w:val="both"/>
        <w:rPr>
          <w:rFonts w:ascii="Arial" w:hAnsi="Arial" w:cs="Arial"/>
          <w:sz w:val="24"/>
          <w:szCs w:val="24"/>
        </w:rPr>
      </w:pPr>
      <w:r>
        <w:rPr>
          <w:rFonts w:ascii="Arial" w:hAnsi="Arial" w:cs="Arial"/>
          <w:sz w:val="24"/>
          <w:szCs w:val="24"/>
        </w:rPr>
        <w:t>In addition to the legal fee, the agreement may also specify that disbursements are to be subtracted from the settlement, along with interest on the disbursement, and applicable taxes;</w:t>
      </w:r>
    </w:p>
    <w:p w:rsidR="00983D81" w:rsidRPr="00983D81" w:rsidRDefault="00983D81" w:rsidP="00202397">
      <w:pPr>
        <w:pStyle w:val="ListParagraph"/>
        <w:numPr>
          <w:ilvl w:val="0"/>
          <w:numId w:val="11"/>
        </w:numPr>
        <w:jc w:val="both"/>
        <w:rPr>
          <w:rFonts w:ascii="Arial" w:hAnsi="Arial" w:cs="Arial"/>
          <w:sz w:val="24"/>
          <w:szCs w:val="24"/>
        </w:rPr>
      </w:pPr>
      <w:r w:rsidRPr="00983D81">
        <w:rPr>
          <w:rFonts w:ascii="Arial" w:hAnsi="Arial" w:cs="Arial"/>
          <w:sz w:val="24"/>
          <w:szCs w:val="24"/>
        </w:rPr>
        <w:t xml:space="preserve">Disbursements may include medical expenses, investigation expenses, copying, printing, scanning, faxing, research, insurance, etc. will be paid; </w:t>
      </w:r>
    </w:p>
    <w:p w:rsidR="00983D81" w:rsidRPr="00983D81" w:rsidRDefault="00983D81" w:rsidP="003E2734">
      <w:pPr>
        <w:jc w:val="both"/>
        <w:rPr>
          <w:rFonts w:ascii="Arial" w:hAnsi="Arial" w:cs="Arial"/>
          <w:sz w:val="24"/>
          <w:szCs w:val="24"/>
        </w:rPr>
      </w:pPr>
      <w:r>
        <w:rPr>
          <w:rFonts w:ascii="Arial" w:hAnsi="Arial" w:cs="Arial"/>
          <w:sz w:val="24"/>
          <w:szCs w:val="24"/>
        </w:rPr>
        <w:t xml:space="preserve">It is important that, from the beginning, the client understands what fees will be taken from the </w:t>
      </w:r>
      <w:r w:rsidR="006F4A29">
        <w:rPr>
          <w:rFonts w:ascii="Arial" w:hAnsi="Arial" w:cs="Arial"/>
          <w:sz w:val="24"/>
          <w:szCs w:val="24"/>
        </w:rPr>
        <w:t xml:space="preserve">base </w:t>
      </w:r>
      <w:r>
        <w:rPr>
          <w:rFonts w:ascii="Arial" w:hAnsi="Arial" w:cs="Arial"/>
          <w:sz w:val="24"/>
          <w:szCs w:val="24"/>
        </w:rPr>
        <w:t>settlement amount. Further, throughout negotiations and before settling, the client must have an appreciation of what amount will actually end up in their pocket.</w:t>
      </w:r>
    </w:p>
    <w:p w:rsidR="00994F56" w:rsidRPr="00997A33" w:rsidRDefault="00E052B3" w:rsidP="003E1DC1">
      <w:pPr>
        <w:pStyle w:val="ListParagraph"/>
        <w:numPr>
          <w:ilvl w:val="0"/>
          <w:numId w:val="20"/>
        </w:numPr>
        <w:spacing w:after="240"/>
        <w:ind w:hanging="720"/>
        <w:contextualSpacing w:val="0"/>
        <w:jc w:val="both"/>
        <w:rPr>
          <w:rFonts w:ascii="Arial" w:hAnsi="Arial" w:cs="Arial"/>
          <w:b/>
          <w:sz w:val="24"/>
          <w:szCs w:val="24"/>
        </w:rPr>
      </w:pPr>
      <w:r>
        <w:rPr>
          <w:rFonts w:ascii="Arial" w:hAnsi="Arial" w:cs="Arial"/>
          <w:b/>
          <w:sz w:val="24"/>
          <w:szCs w:val="24"/>
        </w:rPr>
        <w:t>Offers to settle and c</w:t>
      </w:r>
      <w:r w:rsidR="00AD0F65">
        <w:rPr>
          <w:rFonts w:ascii="Arial" w:hAnsi="Arial" w:cs="Arial"/>
          <w:b/>
          <w:sz w:val="24"/>
          <w:szCs w:val="24"/>
        </w:rPr>
        <w:t>ost consequences</w:t>
      </w:r>
    </w:p>
    <w:p w:rsidR="00994F56" w:rsidRDefault="00E052B3" w:rsidP="003E1DC1">
      <w:pPr>
        <w:pStyle w:val="ListParagraph"/>
        <w:numPr>
          <w:ilvl w:val="0"/>
          <w:numId w:val="22"/>
        </w:numPr>
        <w:spacing w:after="240"/>
        <w:contextualSpacing w:val="0"/>
        <w:jc w:val="both"/>
        <w:rPr>
          <w:rFonts w:ascii="Arial" w:hAnsi="Arial" w:cs="Arial"/>
          <w:sz w:val="24"/>
          <w:szCs w:val="24"/>
        </w:rPr>
      </w:pPr>
      <w:r>
        <w:rPr>
          <w:rFonts w:ascii="Arial" w:hAnsi="Arial" w:cs="Arial"/>
          <w:sz w:val="24"/>
          <w:szCs w:val="24"/>
        </w:rPr>
        <w:t>Formal o</w:t>
      </w:r>
      <w:r w:rsidR="003E1DC1" w:rsidRPr="003E1DC1">
        <w:rPr>
          <w:rFonts w:ascii="Arial" w:hAnsi="Arial" w:cs="Arial"/>
          <w:sz w:val="24"/>
          <w:szCs w:val="24"/>
        </w:rPr>
        <w:t>ffers to settle, whether accepted or rejected, can lead to co</w:t>
      </w:r>
      <w:r w:rsidR="003E1DC1">
        <w:rPr>
          <w:rFonts w:ascii="Arial" w:hAnsi="Arial" w:cs="Arial"/>
          <w:sz w:val="24"/>
          <w:szCs w:val="24"/>
        </w:rPr>
        <w:t xml:space="preserve">st consequences for the parties.  </w:t>
      </w:r>
    </w:p>
    <w:p w:rsidR="003E1DC1" w:rsidRDefault="00E052B3" w:rsidP="003E1DC1">
      <w:pPr>
        <w:pStyle w:val="ListParagraph"/>
        <w:numPr>
          <w:ilvl w:val="0"/>
          <w:numId w:val="22"/>
        </w:numPr>
        <w:spacing w:after="240"/>
        <w:contextualSpacing w:val="0"/>
        <w:jc w:val="both"/>
        <w:rPr>
          <w:rFonts w:ascii="Arial" w:hAnsi="Arial" w:cs="Arial"/>
          <w:sz w:val="24"/>
          <w:szCs w:val="24"/>
        </w:rPr>
      </w:pPr>
      <w:r>
        <w:rPr>
          <w:rFonts w:ascii="Arial" w:hAnsi="Arial" w:cs="Arial"/>
          <w:sz w:val="24"/>
          <w:szCs w:val="24"/>
        </w:rPr>
        <w:t xml:space="preserve">Rule 9-1 governs: </w:t>
      </w:r>
    </w:p>
    <w:p w:rsidR="00E052B3" w:rsidRPr="00E052B3" w:rsidRDefault="00E052B3" w:rsidP="00E052B3">
      <w:pPr>
        <w:pStyle w:val="part"/>
        <w:shd w:val="clear" w:color="auto" w:fill="FFFFFF"/>
        <w:spacing w:before="480" w:beforeAutospacing="0" w:after="168" w:afterAutospacing="0" w:line="360" w:lineRule="atLeast"/>
        <w:ind w:left="990" w:right="360"/>
        <w:jc w:val="center"/>
        <w:rPr>
          <w:rFonts w:ascii="Arial" w:hAnsi="Arial" w:cs="Arial"/>
          <w:b/>
          <w:bCs/>
          <w:color w:val="000000"/>
          <w:sz w:val="28"/>
          <w:szCs w:val="29"/>
        </w:rPr>
      </w:pPr>
      <w:r w:rsidRPr="00E052B3">
        <w:rPr>
          <w:rFonts w:ascii="Arial" w:hAnsi="Arial" w:cs="Arial"/>
          <w:b/>
          <w:bCs/>
          <w:color w:val="000000"/>
          <w:sz w:val="28"/>
          <w:szCs w:val="29"/>
        </w:rPr>
        <w:t>Rule 9-1 — Offers to Settle</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1" w:name="rule9t1subrule1"/>
      <w:bookmarkStart w:id="2" w:name="subrule_d2e10492"/>
      <w:bookmarkEnd w:id="1"/>
      <w:r w:rsidRPr="00E052B3">
        <w:rPr>
          <w:rFonts w:ascii="Arial" w:hAnsi="Arial" w:cs="Arial"/>
          <w:color w:val="000000"/>
          <w:sz w:val="20"/>
          <w:szCs w:val="22"/>
        </w:rPr>
        <w:t>Definition</w:t>
      </w:r>
      <w:bookmarkEnd w:id="2"/>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(1)</w:t>
      </w:r>
      <w:r w:rsidRPr="00E052B3">
        <w:rPr>
          <w:rFonts w:ascii="Arial" w:hAnsi="Arial" w:cs="Arial"/>
          <w:color w:val="000000"/>
          <w:sz w:val="20"/>
          <w:szCs w:val="22"/>
        </w:rPr>
        <w:t>In this rule, </w:t>
      </w:r>
      <w:r w:rsidRPr="00E052B3">
        <w:rPr>
          <w:rStyle w:val="double-quotes"/>
          <w:rFonts w:ascii="Arial" w:hAnsi="Arial" w:cs="Arial"/>
          <w:color w:val="000000"/>
          <w:sz w:val="20"/>
          <w:szCs w:val="22"/>
        </w:rPr>
        <w:t>"</w:t>
      </w:r>
      <w:r w:rsidRPr="00E052B3">
        <w:rPr>
          <w:rStyle w:val="normal-bold-style"/>
          <w:rFonts w:ascii="Arial" w:hAnsi="Arial" w:cs="Arial"/>
          <w:color w:val="000000"/>
          <w:sz w:val="20"/>
          <w:szCs w:val="22"/>
        </w:rPr>
        <w:t>offer to settle</w:t>
      </w:r>
      <w:r w:rsidRPr="00E052B3">
        <w:rPr>
          <w:rStyle w:val="double-quotes"/>
          <w:rFonts w:ascii="Arial" w:hAnsi="Arial" w:cs="Arial"/>
          <w:color w:val="000000"/>
          <w:sz w:val="20"/>
          <w:szCs w:val="22"/>
        </w:rPr>
        <w:t>"</w:t>
      </w:r>
      <w:r w:rsidRPr="00E052B3">
        <w:rPr>
          <w:rFonts w:ascii="Arial" w:hAnsi="Arial" w:cs="Arial"/>
          <w:color w:val="000000"/>
          <w:sz w:val="20"/>
          <w:szCs w:val="22"/>
        </w:rPr>
        <w:t> means</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3" w:name="d2e10506"/>
      <w:bookmarkEnd w:id="3"/>
      <w:r w:rsidRPr="00E052B3">
        <w:rPr>
          <w:rStyle w:val="holder"/>
          <w:rFonts w:ascii="Arial" w:hAnsi="Arial" w:cs="Arial"/>
          <w:color w:val="000000"/>
          <w:sz w:val="20"/>
          <w:szCs w:val="22"/>
        </w:rPr>
        <w:t>(a)</w:t>
      </w:r>
      <w:r w:rsidRPr="00E052B3">
        <w:rPr>
          <w:rFonts w:ascii="Arial" w:hAnsi="Arial" w:cs="Arial"/>
          <w:color w:val="000000"/>
          <w:sz w:val="20"/>
          <w:szCs w:val="22"/>
        </w:rPr>
        <w:t>an offer to settle made and delivered before July 2, 2008 under Rule 37 of the former Supreme Court Rules, as that rule read on the date of the offer to settle, and in relation to which no order was made under that rule,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4" w:name="d2e10515"/>
      <w:bookmarkEnd w:id="4"/>
      <w:r w:rsidRPr="00E052B3">
        <w:rPr>
          <w:rStyle w:val="holder"/>
          <w:rFonts w:ascii="Arial" w:hAnsi="Arial" w:cs="Arial"/>
          <w:color w:val="000000"/>
          <w:sz w:val="20"/>
          <w:szCs w:val="22"/>
        </w:rPr>
        <w:t>(b)</w:t>
      </w:r>
      <w:r w:rsidRPr="00E052B3">
        <w:rPr>
          <w:rFonts w:ascii="Arial" w:hAnsi="Arial" w:cs="Arial"/>
          <w:color w:val="000000"/>
          <w:sz w:val="20"/>
          <w:szCs w:val="22"/>
        </w:rPr>
        <w:t>an offer of settlement made and delivered before July 2, 2008 under Rule 37A of the former Supreme Court Rules, as that rule read on the date of the offer of settlement, and in relation to which no order was made under that rule, or</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5" w:name="d2e10525"/>
      <w:bookmarkEnd w:id="5"/>
      <w:r w:rsidRPr="00E052B3">
        <w:rPr>
          <w:rStyle w:val="holder"/>
          <w:rFonts w:ascii="Arial" w:hAnsi="Arial" w:cs="Arial"/>
          <w:color w:val="000000"/>
          <w:sz w:val="20"/>
          <w:szCs w:val="22"/>
        </w:rPr>
        <w:t>(c)</w:t>
      </w:r>
      <w:r w:rsidRPr="00E052B3">
        <w:rPr>
          <w:rFonts w:ascii="Arial" w:hAnsi="Arial" w:cs="Arial"/>
          <w:color w:val="000000"/>
          <w:sz w:val="20"/>
          <w:szCs w:val="22"/>
        </w:rPr>
        <w:t>an offer to settle made after July 1, 2008 under Rule 37B of the former Supreme Court Rules, as that rule read on the date of the offer to settle, or made under this rule, that</w:t>
      </w:r>
    </w:p>
    <w:p w:rsidR="00E052B3" w:rsidRPr="00E052B3" w:rsidRDefault="00E052B3" w:rsidP="00E052B3">
      <w:pPr>
        <w:pStyle w:val="sub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6" w:name="d2e10534"/>
      <w:bookmarkEnd w:id="6"/>
      <w:r w:rsidRPr="00E052B3">
        <w:rPr>
          <w:rStyle w:val="holder"/>
          <w:rFonts w:ascii="Arial" w:hAnsi="Arial" w:cs="Arial"/>
          <w:color w:val="000000"/>
          <w:sz w:val="20"/>
          <w:szCs w:val="22"/>
        </w:rPr>
        <w:t>(</w:t>
      </w:r>
      <w:proofErr w:type="spellStart"/>
      <w:r w:rsidRPr="00E052B3">
        <w:rPr>
          <w:rStyle w:val="holder"/>
          <w:rFonts w:ascii="Arial" w:hAnsi="Arial" w:cs="Arial"/>
          <w:color w:val="000000"/>
          <w:sz w:val="20"/>
          <w:szCs w:val="22"/>
        </w:rPr>
        <w:t>i</w:t>
      </w:r>
      <w:proofErr w:type="spellEnd"/>
      <w:r w:rsidRPr="00E052B3">
        <w:rPr>
          <w:rStyle w:val="holder"/>
          <w:rFonts w:ascii="Arial" w:hAnsi="Arial" w:cs="Arial"/>
          <w:color w:val="000000"/>
          <w:sz w:val="20"/>
          <w:szCs w:val="22"/>
        </w:rPr>
        <w:t>)</w:t>
      </w:r>
      <w:r w:rsidRPr="00E052B3">
        <w:rPr>
          <w:rFonts w:ascii="Arial" w:hAnsi="Arial" w:cs="Arial"/>
          <w:color w:val="000000"/>
          <w:sz w:val="20"/>
          <w:szCs w:val="22"/>
        </w:rPr>
        <w:t>is made in writing by a party to a proceeding,</w:t>
      </w:r>
    </w:p>
    <w:p w:rsidR="00E052B3" w:rsidRPr="00E052B3" w:rsidRDefault="00E052B3" w:rsidP="00E052B3">
      <w:pPr>
        <w:pStyle w:val="sub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7" w:name="d2e10543"/>
      <w:bookmarkEnd w:id="7"/>
      <w:r w:rsidRPr="00E052B3">
        <w:rPr>
          <w:rStyle w:val="holder"/>
          <w:rFonts w:ascii="Arial" w:hAnsi="Arial" w:cs="Arial"/>
          <w:color w:val="000000"/>
          <w:sz w:val="20"/>
          <w:szCs w:val="22"/>
        </w:rPr>
        <w:t>(ii)</w:t>
      </w:r>
      <w:r w:rsidRPr="00E052B3">
        <w:rPr>
          <w:rFonts w:ascii="Arial" w:hAnsi="Arial" w:cs="Arial"/>
          <w:color w:val="000000"/>
          <w:sz w:val="20"/>
          <w:szCs w:val="22"/>
        </w:rPr>
        <w:t>has been served on all parties of record, and</w:t>
      </w:r>
    </w:p>
    <w:p w:rsidR="00E052B3" w:rsidRPr="00E052B3" w:rsidRDefault="00E052B3" w:rsidP="00E052B3">
      <w:pPr>
        <w:pStyle w:val="sub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8" w:name="d2e10552"/>
      <w:bookmarkEnd w:id="8"/>
      <w:r w:rsidRPr="00E052B3">
        <w:rPr>
          <w:rStyle w:val="holder"/>
          <w:rFonts w:ascii="Arial" w:hAnsi="Arial" w:cs="Arial"/>
          <w:color w:val="000000"/>
          <w:sz w:val="20"/>
          <w:szCs w:val="22"/>
        </w:rPr>
        <w:t>(iii)</w:t>
      </w:r>
      <w:r w:rsidRPr="00E052B3">
        <w:rPr>
          <w:rFonts w:ascii="Arial" w:hAnsi="Arial" w:cs="Arial"/>
          <w:color w:val="000000"/>
          <w:sz w:val="20"/>
          <w:szCs w:val="22"/>
        </w:rPr>
        <w:t>contains the following sentence: "The ............</w:t>
      </w:r>
      <w:r w:rsidRPr="00E052B3">
        <w:rPr>
          <w:rStyle w:val="Emphasis"/>
          <w:rFonts w:ascii="Arial" w:hAnsi="Arial" w:cs="Arial"/>
          <w:color w:val="000000"/>
          <w:sz w:val="20"/>
          <w:szCs w:val="22"/>
        </w:rPr>
        <w:t>[party(</w:t>
      </w:r>
      <w:proofErr w:type="spellStart"/>
      <w:r w:rsidRPr="00E052B3">
        <w:rPr>
          <w:rStyle w:val="Emphasis"/>
          <w:rFonts w:ascii="Arial" w:hAnsi="Arial" w:cs="Arial"/>
          <w:color w:val="000000"/>
          <w:sz w:val="20"/>
          <w:szCs w:val="22"/>
        </w:rPr>
        <w:t>ies</w:t>
      </w:r>
      <w:proofErr w:type="spellEnd"/>
      <w:r w:rsidRPr="00E052B3">
        <w:rPr>
          <w:rStyle w:val="Emphasis"/>
          <w:rFonts w:ascii="Arial" w:hAnsi="Arial" w:cs="Arial"/>
          <w:color w:val="000000"/>
          <w:sz w:val="20"/>
          <w:szCs w:val="22"/>
        </w:rPr>
        <w:t>)]</w:t>
      </w:r>
      <w:r w:rsidRPr="00E052B3">
        <w:rPr>
          <w:rFonts w:ascii="Arial" w:hAnsi="Arial" w:cs="Arial"/>
          <w:color w:val="000000"/>
          <w:sz w:val="20"/>
          <w:szCs w:val="22"/>
        </w:rPr>
        <w:t>............, ............</w:t>
      </w:r>
      <w:r w:rsidRPr="00E052B3">
        <w:rPr>
          <w:rStyle w:val="Emphasis"/>
          <w:rFonts w:ascii="Arial" w:hAnsi="Arial" w:cs="Arial"/>
          <w:color w:val="000000"/>
          <w:sz w:val="20"/>
          <w:szCs w:val="22"/>
        </w:rPr>
        <w:t>[name(s) of party(</w:t>
      </w:r>
      <w:proofErr w:type="spellStart"/>
      <w:r w:rsidRPr="00E052B3">
        <w:rPr>
          <w:rStyle w:val="Emphasis"/>
          <w:rFonts w:ascii="Arial" w:hAnsi="Arial" w:cs="Arial"/>
          <w:color w:val="000000"/>
          <w:sz w:val="20"/>
          <w:szCs w:val="22"/>
        </w:rPr>
        <w:t>ies</w:t>
      </w:r>
      <w:proofErr w:type="spellEnd"/>
      <w:r w:rsidRPr="00E052B3">
        <w:rPr>
          <w:rStyle w:val="Emphasis"/>
          <w:rFonts w:ascii="Arial" w:hAnsi="Arial" w:cs="Arial"/>
          <w:color w:val="000000"/>
          <w:sz w:val="20"/>
          <w:szCs w:val="22"/>
        </w:rPr>
        <w:t>)]</w:t>
      </w:r>
      <w:r w:rsidRPr="00E052B3">
        <w:rPr>
          <w:rFonts w:ascii="Arial" w:hAnsi="Arial" w:cs="Arial"/>
          <w:color w:val="000000"/>
          <w:sz w:val="20"/>
          <w:szCs w:val="22"/>
        </w:rPr>
        <w:t>............, reserve(s) the right to bring this offer to the attention of the court for consideration in relation to costs after the court has pronounced judgment on all other issues in this proceeding."</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9" w:name="rule9t1subrule2"/>
      <w:bookmarkStart w:id="10" w:name="subrule_d2e10568"/>
      <w:bookmarkEnd w:id="9"/>
      <w:r w:rsidRPr="00E052B3">
        <w:rPr>
          <w:rFonts w:ascii="Arial" w:hAnsi="Arial" w:cs="Arial"/>
          <w:color w:val="000000"/>
          <w:sz w:val="20"/>
          <w:szCs w:val="22"/>
        </w:rPr>
        <w:t>Offer not to be disclosed</w:t>
      </w:r>
      <w:bookmarkEnd w:id="10"/>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(2)</w:t>
      </w:r>
      <w:r w:rsidRPr="00E052B3">
        <w:rPr>
          <w:rFonts w:ascii="Arial" w:hAnsi="Arial" w:cs="Arial"/>
          <w:color w:val="000000"/>
          <w:sz w:val="20"/>
          <w:szCs w:val="22"/>
        </w:rPr>
        <w:t>The fact that an offer to settle has been made must not be disclosed to the court or jury, or set out in any document used in the proceeding, until all issues in the proceeding, other than costs, have been determined.</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11" w:name="rule9t1subrule3"/>
      <w:bookmarkStart w:id="12" w:name="subrule_d2e10580"/>
      <w:bookmarkEnd w:id="11"/>
      <w:r w:rsidRPr="00E052B3">
        <w:rPr>
          <w:rFonts w:ascii="Arial" w:hAnsi="Arial" w:cs="Arial"/>
          <w:color w:val="000000"/>
          <w:sz w:val="20"/>
          <w:szCs w:val="22"/>
        </w:rPr>
        <w:t>Offer not an admission</w:t>
      </w:r>
      <w:bookmarkEnd w:id="12"/>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(3)</w:t>
      </w:r>
      <w:r w:rsidRPr="00E052B3">
        <w:rPr>
          <w:rFonts w:ascii="Arial" w:hAnsi="Arial" w:cs="Arial"/>
          <w:color w:val="000000"/>
          <w:sz w:val="20"/>
          <w:szCs w:val="22"/>
        </w:rPr>
        <w:t>An offer to settle is not an admission.</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13" w:name="rule9t1subrule4"/>
      <w:bookmarkStart w:id="14" w:name="subrule_d2e10592"/>
      <w:bookmarkEnd w:id="13"/>
      <w:r w:rsidRPr="00E052B3">
        <w:rPr>
          <w:rFonts w:ascii="Arial" w:hAnsi="Arial" w:cs="Arial"/>
          <w:color w:val="000000"/>
          <w:sz w:val="20"/>
          <w:szCs w:val="22"/>
        </w:rPr>
        <w:t>Offer may be considered in relation to costs</w:t>
      </w:r>
      <w:bookmarkEnd w:id="14"/>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(4)</w:t>
      </w:r>
      <w:r w:rsidRPr="00E052B3">
        <w:rPr>
          <w:rFonts w:ascii="Arial" w:hAnsi="Arial" w:cs="Arial"/>
          <w:color w:val="000000"/>
          <w:sz w:val="20"/>
          <w:szCs w:val="22"/>
        </w:rPr>
        <w:t>The court may consider an offer to settle when exercising the court's discretion in relation to costs.</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15" w:name="rule9t1subrule5"/>
      <w:bookmarkStart w:id="16" w:name="subrule_d2e10605"/>
      <w:bookmarkEnd w:id="15"/>
      <w:r w:rsidRPr="00E052B3">
        <w:rPr>
          <w:rFonts w:ascii="Arial" w:hAnsi="Arial" w:cs="Arial"/>
          <w:color w:val="000000"/>
          <w:sz w:val="20"/>
          <w:szCs w:val="22"/>
        </w:rPr>
        <w:t>Cost options</w:t>
      </w:r>
      <w:bookmarkEnd w:id="16"/>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(5)</w:t>
      </w:r>
      <w:r w:rsidRPr="00E052B3">
        <w:rPr>
          <w:rFonts w:ascii="Arial" w:hAnsi="Arial" w:cs="Arial"/>
          <w:color w:val="000000"/>
          <w:sz w:val="20"/>
          <w:szCs w:val="22"/>
        </w:rPr>
        <w:t>In a proceeding in which an offer to settle has been made, the court may do one or more of the following:</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17" w:name="d2e10616"/>
      <w:bookmarkEnd w:id="17"/>
      <w:r w:rsidRPr="00E052B3">
        <w:rPr>
          <w:rStyle w:val="holder"/>
          <w:rFonts w:ascii="Arial" w:hAnsi="Arial" w:cs="Arial"/>
          <w:color w:val="000000"/>
          <w:sz w:val="20"/>
          <w:szCs w:val="22"/>
        </w:rPr>
        <w:t>(a)</w:t>
      </w:r>
      <w:r w:rsidRPr="00E052B3">
        <w:rPr>
          <w:rFonts w:ascii="Arial" w:hAnsi="Arial" w:cs="Arial"/>
          <w:color w:val="000000"/>
          <w:sz w:val="20"/>
          <w:szCs w:val="22"/>
        </w:rPr>
        <w:t>deprive a party of any or all of the costs, including any or all of the disbursements, to which the party would otherwise be entitled in respect of all or some of the steps taken in the proceeding after the date of delivery or service of the offer to settle;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18" w:name="d2e10625"/>
      <w:bookmarkEnd w:id="18"/>
      <w:r w:rsidRPr="00E052B3">
        <w:rPr>
          <w:rStyle w:val="holder"/>
          <w:rFonts w:ascii="Arial" w:hAnsi="Arial" w:cs="Arial"/>
          <w:color w:val="000000"/>
          <w:sz w:val="20"/>
          <w:szCs w:val="22"/>
        </w:rPr>
        <w:t>(b)</w:t>
      </w:r>
      <w:r w:rsidRPr="00E052B3">
        <w:rPr>
          <w:rFonts w:ascii="Arial" w:hAnsi="Arial" w:cs="Arial"/>
          <w:color w:val="000000"/>
          <w:sz w:val="20"/>
          <w:szCs w:val="22"/>
        </w:rPr>
        <w:t>award double costs of all or some of the steps taken in the proceeding after the date of delivery or service of the offer to settle;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19" w:name="d2e10635"/>
      <w:bookmarkEnd w:id="19"/>
      <w:r w:rsidRPr="00E052B3">
        <w:rPr>
          <w:rStyle w:val="holder"/>
          <w:rFonts w:ascii="Arial" w:hAnsi="Arial" w:cs="Arial"/>
          <w:color w:val="000000"/>
          <w:sz w:val="20"/>
          <w:szCs w:val="22"/>
        </w:rPr>
        <w:t>(c)</w:t>
      </w:r>
      <w:r w:rsidRPr="00E052B3">
        <w:rPr>
          <w:rFonts w:ascii="Arial" w:hAnsi="Arial" w:cs="Arial"/>
          <w:color w:val="000000"/>
          <w:sz w:val="20"/>
          <w:szCs w:val="22"/>
        </w:rPr>
        <w:t>award to a party, in respect of all or some of the steps taken in the proceeding after the date of delivery or service of the offer to settle, costs to which the party would have been entitled had the offer not been made;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0" w:name="d2e10644"/>
      <w:bookmarkEnd w:id="20"/>
      <w:r w:rsidRPr="00E052B3">
        <w:rPr>
          <w:rStyle w:val="holder"/>
          <w:rFonts w:ascii="Arial" w:hAnsi="Arial" w:cs="Arial"/>
          <w:color w:val="000000"/>
          <w:sz w:val="20"/>
          <w:szCs w:val="22"/>
        </w:rPr>
        <w:t>(d)</w:t>
      </w:r>
      <w:r w:rsidRPr="00E052B3">
        <w:rPr>
          <w:rFonts w:ascii="Arial" w:hAnsi="Arial" w:cs="Arial"/>
          <w:color w:val="000000"/>
          <w:sz w:val="20"/>
          <w:szCs w:val="22"/>
        </w:rPr>
        <w:t>if the offer was made by a defendant and the judgment awarded to the plaintiff was no greater than the amount of the offer to settle, award to the defendant the defendant's costs in respect of all or some of the steps taken in the proceeding after the date of delivery or service of the offer to settle.</w:t>
      </w:r>
    </w:p>
    <w:p w:rsidR="00E052B3" w:rsidRPr="00E052B3" w:rsidRDefault="00E052B3" w:rsidP="00E052B3">
      <w:pPr>
        <w:pStyle w:val="hnote"/>
        <w:shd w:val="clear" w:color="auto" w:fill="FFFFFF"/>
        <w:spacing w:before="168" w:beforeAutospacing="0" w:after="168" w:afterAutospacing="0" w:line="360" w:lineRule="atLeast"/>
        <w:ind w:left="990" w:right="360"/>
        <w:jc w:val="both"/>
        <w:rPr>
          <w:rFonts w:ascii="Arial" w:hAnsi="Arial" w:cs="Arial"/>
          <w:color w:val="000000"/>
          <w:sz w:val="16"/>
          <w:szCs w:val="18"/>
        </w:rPr>
      </w:pPr>
      <w:r w:rsidRPr="00E052B3">
        <w:rPr>
          <w:rFonts w:ascii="Arial" w:hAnsi="Arial" w:cs="Arial"/>
          <w:color w:val="000000"/>
          <w:sz w:val="16"/>
          <w:szCs w:val="18"/>
        </w:rPr>
        <w:t>[am. B.C. Reg. 119/2010, Sch. A, s. 21.]</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21" w:name="rule9t1subrule6"/>
      <w:bookmarkStart w:id="22" w:name="subrule_d2e10657"/>
      <w:bookmarkEnd w:id="21"/>
      <w:r w:rsidRPr="00E052B3">
        <w:rPr>
          <w:rFonts w:ascii="Arial" w:hAnsi="Arial" w:cs="Arial"/>
          <w:color w:val="000000"/>
          <w:sz w:val="20"/>
          <w:szCs w:val="22"/>
        </w:rPr>
        <w:t>Considerations of court</w:t>
      </w:r>
      <w:bookmarkEnd w:id="22"/>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(6)</w:t>
      </w:r>
      <w:r w:rsidRPr="00E052B3">
        <w:rPr>
          <w:rFonts w:ascii="Arial" w:hAnsi="Arial" w:cs="Arial"/>
          <w:color w:val="000000"/>
          <w:sz w:val="20"/>
          <w:szCs w:val="22"/>
        </w:rPr>
        <w:t xml:space="preserve">In making an order under </w:t>
      </w:r>
      <w:proofErr w:type="spellStart"/>
      <w:r w:rsidRPr="00E052B3">
        <w:rPr>
          <w:rFonts w:ascii="Arial" w:hAnsi="Arial" w:cs="Arial"/>
          <w:color w:val="000000"/>
          <w:sz w:val="20"/>
          <w:szCs w:val="22"/>
        </w:rPr>
        <w:t>subrule</w:t>
      </w:r>
      <w:proofErr w:type="spellEnd"/>
      <w:r w:rsidRPr="00E052B3">
        <w:rPr>
          <w:rFonts w:ascii="Arial" w:hAnsi="Arial" w:cs="Arial"/>
          <w:color w:val="000000"/>
          <w:sz w:val="20"/>
          <w:szCs w:val="22"/>
        </w:rPr>
        <w:t xml:space="preserve"> (5), the court may consider the following:</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3" w:name="d2e10668"/>
      <w:bookmarkEnd w:id="23"/>
      <w:r w:rsidRPr="00E052B3">
        <w:rPr>
          <w:rStyle w:val="holder"/>
          <w:rFonts w:ascii="Arial" w:hAnsi="Arial" w:cs="Arial"/>
          <w:color w:val="000000"/>
          <w:sz w:val="20"/>
          <w:szCs w:val="22"/>
        </w:rPr>
        <w:t>(a)</w:t>
      </w:r>
      <w:r w:rsidRPr="00E052B3">
        <w:rPr>
          <w:rFonts w:ascii="Arial" w:hAnsi="Arial" w:cs="Arial"/>
          <w:color w:val="000000"/>
          <w:sz w:val="20"/>
          <w:szCs w:val="22"/>
        </w:rPr>
        <w:t>whether the offer to settle was one that ought reasonably to have been accepted, either on the date that the offer to settle was delivered or served or on any later date;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4" w:name="d2e10677"/>
      <w:bookmarkEnd w:id="24"/>
      <w:r w:rsidRPr="00E052B3">
        <w:rPr>
          <w:rStyle w:val="holder"/>
          <w:rFonts w:ascii="Arial" w:hAnsi="Arial" w:cs="Arial"/>
          <w:color w:val="000000"/>
          <w:sz w:val="20"/>
          <w:szCs w:val="22"/>
        </w:rPr>
        <w:t>(b)</w:t>
      </w:r>
      <w:r w:rsidRPr="00E052B3">
        <w:rPr>
          <w:rFonts w:ascii="Arial" w:hAnsi="Arial" w:cs="Arial"/>
          <w:color w:val="000000"/>
          <w:sz w:val="20"/>
          <w:szCs w:val="22"/>
        </w:rPr>
        <w:t>the relationship between the terms of settlement offered and the final judgment of the court;</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5" w:name="d2e10687"/>
      <w:bookmarkEnd w:id="25"/>
      <w:r w:rsidRPr="00E052B3">
        <w:rPr>
          <w:rStyle w:val="holder"/>
          <w:rFonts w:ascii="Arial" w:hAnsi="Arial" w:cs="Arial"/>
          <w:color w:val="000000"/>
          <w:sz w:val="20"/>
          <w:szCs w:val="22"/>
        </w:rPr>
        <w:t>(c)</w:t>
      </w:r>
      <w:r w:rsidRPr="00E052B3">
        <w:rPr>
          <w:rFonts w:ascii="Arial" w:hAnsi="Arial" w:cs="Arial"/>
          <w:color w:val="000000"/>
          <w:sz w:val="20"/>
          <w:szCs w:val="22"/>
        </w:rPr>
        <w:t>the relative financial circumstances of the parties;</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6" w:name="d2e10696"/>
      <w:bookmarkEnd w:id="26"/>
      <w:r w:rsidRPr="00E052B3">
        <w:rPr>
          <w:rStyle w:val="holder"/>
          <w:rFonts w:ascii="Arial" w:hAnsi="Arial" w:cs="Arial"/>
          <w:color w:val="000000"/>
          <w:sz w:val="20"/>
          <w:szCs w:val="22"/>
        </w:rPr>
        <w:t>(d)</w:t>
      </w:r>
      <w:r w:rsidRPr="00E052B3">
        <w:rPr>
          <w:rFonts w:ascii="Arial" w:hAnsi="Arial" w:cs="Arial"/>
          <w:color w:val="000000"/>
          <w:sz w:val="20"/>
          <w:szCs w:val="22"/>
        </w:rPr>
        <w:t>any other factor the court considers appropriate.</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27" w:name="rule9t1subrule7"/>
      <w:bookmarkStart w:id="28" w:name="subrule_d2e10706"/>
      <w:bookmarkEnd w:id="27"/>
      <w:r w:rsidRPr="00E052B3">
        <w:rPr>
          <w:rFonts w:ascii="Arial" w:hAnsi="Arial" w:cs="Arial"/>
          <w:color w:val="000000"/>
          <w:sz w:val="20"/>
          <w:szCs w:val="22"/>
        </w:rPr>
        <w:t>Costs for settlement in cases within small claims jurisdiction</w:t>
      </w:r>
      <w:bookmarkEnd w:id="28"/>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(7)</w:t>
      </w:r>
      <w:r w:rsidRPr="00E052B3">
        <w:rPr>
          <w:rFonts w:ascii="Arial" w:hAnsi="Arial" w:cs="Arial"/>
          <w:color w:val="000000"/>
          <w:sz w:val="20"/>
          <w:szCs w:val="22"/>
        </w:rPr>
        <w:t>A plaintiff who accepts an offer to settle for a sum within the jurisdiction of the Provincial Court under the </w:t>
      </w:r>
      <w:hyperlink r:id="rId13" w:history="1">
        <w:r w:rsidRPr="00E052B3">
          <w:rPr>
            <w:rStyle w:val="Emphasis"/>
            <w:rFonts w:ascii="Arial" w:hAnsi="Arial" w:cs="Arial"/>
            <w:color w:val="0033CC"/>
            <w:sz w:val="20"/>
            <w:szCs w:val="22"/>
          </w:rPr>
          <w:t>Small Claims Act</w:t>
        </w:r>
      </w:hyperlink>
      <w:r w:rsidRPr="00E052B3">
        <w:rPr>
          <w:rFonts w:ascii="Arial" w:hAnsi="Arial" w:cs="Arial"/>
          <w:color w:val="000000"/>
          <w:sz w:val="20"/>
          <w:szCs w:val="22"/>
        </w:rPr>
        <w:t> is not entitled to costs, other than disbursements, unless the court finds that there was sufficient reason for bringing the proceeding in the Supreme Court and so orders.</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29" w:name="rule9t1subrule8"/>
      <w:bookmarkStart w:id="30" w:name="subrule_d2e10721"/>
      <w:bookmarkEnd w:id="29"/>
      <w:r w:rsidRPr="00E052B3">
        <w:rPr>
          <w:rFonts w:ascii="Arial" w:hAnsi="Arial" w:cs="Arial"/>
          <w:color w:val="000000"/>
          <w:sz w:val="20"/>
          <w:szCs w:val="22"/>
        </w:rPr>
        <w:t>Counter offer</w:t>
      </w:r>
      <w:bookmarkEnd w:id="30"/>
    </w:p>
    <w:p w:rsid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(8)</w:t>
      </w:r>
      <w:r w:rsidRPr="00E052B3">
        <w:rPr>
          <w:rFonts w:ascii="Arial" w:hAnsi="Arial" w:cs="Arial"/>
          <w:color w:val="000000"/>
          <w:sz w:val="20"/>
          <w:szCs w:val="22"/>
        </w:rPr>
        <w:t>An offer to settle does not expire by reason that a counter offer is made.</w:t>
      </w:r>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p>
    <w:p w:rsidR="003E1DC1" w:rsidRPr="003E1DC1" w:rsidRDefault="003E1DC1" w:rsidP="003E1DC1">
      <w:pPr>
        <w:pStyle w:val="ListParagraph"/>
        <w:numPr>
          <w:ilvl w:val="0"/>
          <w:numId w:val="22"/>
        </w:numPr>
        <w:spacing w:after="240"/>
        <w:contextualSpacing w:val="0"/>
        <w:jc w:val="both"/>
        <w:rPr>
          <w:rFonts w:ascii="Arial" w:hAnsi="Arial" w:cs="Arial"/>
          <w:sz w:val="28"/>
          <w:szCs w:val="24"/>
        </w:rPr>
      </w:pPr>
      <w:r>
        <w:rPr>
          <w:rFonts w:ascii="Arial" w:hAnsi="Arial" w:cs="Arial"/>
          <w:sz w:val="24"/>
          <w:szCs w:val="24"/>
        </w:rPr>
        <w:t xml:space="preserve">In </w:t>
      </w:r>
      <w:hyperlink r:id="rId14" w:history="1">
        <w:r w:rsidRPr="003E1DC1">
          <w:rPr>
            <w:rStyle w:val="Emphasis"/>
            <w:rFonts w:ascii="Arial" w:hAnsi="Arial" w:cs="Arial"/>
            <w:color w:val="446FB6"/>
            <w:sz w:val="24"/>
            <w:szCs w:val="23"/>
          </w:rPr>
          <w:t>Park v. Donnelly</w:t>
        </w:r>
        <w:r w:rsidRPr="003E1DC1">
          <w:rPr>
            <w:rStyle w:val="Hyperlink"/>
            <w:rFonts w:ascii="Arial" w:hAnsi="Arial" w:cs="Arial"/>
            <w:color w:val="446FB6"/>
            <w:sz w:val="24"/>
            <w:szCs w:val="23"/>
            <w:u w:val="none"/>
          </w:rPr>
          <w:t>, 2018 BCSC 219</w:t>
        </w:r>
      </w:hyperlink>
      <w:r w:rsidRPr="003E1DC1">
        <w:rPr>
          <w:rFonts w:ascii="Arial" w:hAnsi="Arial" w:cs="Arial"/>
          <w:color w:val="232C3A"/>
          <w:sz w:val="24"/>
          <w:szCs w:val="23"/>
        </w:rPr>
        <w:t>,</w:t>
      </w:r>
      <w:r>
        <w:rPr>
          <w:rFonts w:ascii="Arial" w:hAnsi="Arial" w:cs="Arial"/>
          <w:color w:val="232C3A"/>
          <w:sz w:val="24"/>
          <w:szCs w:val="23"/>
        </w:rPr>
        <w:t xml:space="preserve"> the plaintiff was injured in a motor vehicle collision.  ICBC was added as a statutory third party because the defendant was breached (to be explained briefly in lecture).  The plaintiff was awarded $402,017 at trial. Eleven days before trial, ICBC made a formal offer to settle in the amount of $430,000 “old money” plus costs and disbursements, but after taking into account Part 7 benefits paid or payable, and after taking into account “any advances paid to date”.  ICBC sought recovery of it costs since the plaintiff did not beat the offer at trial. The plaintiff argued the offer was ambiguous because it was “old money”, meaning previous amounts paid under Part 7 or advances would be deducted. The court dismissed ICBC’s application for costs, finding that the offer to settle was unclear and ambiguous – it was confusing because it was “old money”, and it ought to have made clear the amounts to be deducted.</w:t>
      </w:r>
    </w:p>
    <w:p w:rsidR="00215D5B" w:rsidRPr="00997A33" w:rsidRDefault="00215D5B" w:rsidP="00202397">
      <w:pPr>
        <w:pStyle w:val="ListParagraph"/>
        <w:numPr>
          <w:ilvl w:val="0"/>
          <w:numId w:val="20"/>
        </w:numPr>
        <w:ind w:hanging="720"/>
        <w:jc w:val="both"/>
        <w:rPr>
          <w:rFonts w:ascii="Arial" w:hAnsi="Arial" w:cs="Arial"/>
          <w:b/>
          <w:sz w:val="24"/>
          <w:szCs w:val="24"/>
        </w:rPr>
      </w:pPr>
      <w:r w:rsidRPr="00997A33">
        <w:rPr>
          <w:rFonts w:ascii="Arial" w:hAnsi="Arial" w:cs="Arial"/>
          <w:b/>
          <w:sz w:val="24"/>
          <w:szCs w:val="24"/>
        </w:rPr>
        <w:t>Bills of Costs</w:t>
      </w:r>
      <w:r w:rsidR="0066146C" w:rsidRPr="00997A33">
        <w:rPr>
          <w:rFonts w:ascii="Arial" w:hAnsi="Arial" w:cs="Arial"/>
          <w:b/>
          <w:sz w:val="24"/>
          <w:szCs w:val="24"/>
        </w:rPr>
        <w:t xml:space="preserve"> and Taxation </w:t>
      </w:r>
    </w:p>
    <w:p w:rsidR="00994F56" w:rsidRDefault="00A23239" w:rsidP="003E2734">
      <w:pPr>
        <w:jc w:val="both"/>
        <w:rPr>
          <w:rFonts w:ascii="Arial" w:hAnsi="Arial" w:cs="Arial"/>
          <w:sz w:val="24"/>
          <w:szCs w:val="24"/>
        </w:rPr>
      </w:pPr>
      <w:r>
        <w:rPr>
          <w:rFonts w:ascii="Arial" w:hAnsi="Arial" w:cs="Arial"/>
          <w:sz w:val="24"/>
          <w:szCs w:val="24"/>
        </w:rPr>
        <w:t xml:space="preserve">Disbursements are out of pocket expenses incurred by the lawyer. </w:t>
      </w:r>
    </w:p>
    <w:p w:rsidR="00A23239" w:rsidRDefault="00A23239" w:rsidP="003E2734">
      <w:pPr>
        <w:jc w:val="both"/>
        <w:rPr>
          <w:rFonts w:ascii="Arial" w:hAnsi="Arial" w:cs="Arial"/>
          <w:sz w:val="24"/>
          <w:szCs w:val="24"/>
        </w:rPr>
      </w:pPr>
      <w:r>
        <w:rPr>
          <w:rFonts w:ascii="Arial" w:hAnsi="Arial" w:cs="Arial"/>
          <w:sz w:val="24"/>
          <w:szCs w:val="24"/>
        </w:rPr>
        <w:t>Cost</w:t>
      </w:r>
      <w:r w:rsidR="00994F56">
        <w:rPr>
          <w:rFonts w:ascii="Arial" w:hAnsi="Arial" w:cs="Arial"/>
          <w:sz w:val="24"/>
          <w:szCs w:val="24"/>
        </w:rPr>
        <w:t xml:space="preserve"> and disbursements</w:t>
      </w:r>
      <w:r>
        <w:rPr>
          <w:rFonts w:ascii="Arial" w:hAnsi="Arial" w:cs="Arial"/>
          <w:sz w:val="24"/>
          <w:szCs w:val="24"/>
        </w:rPr>
        <w:t xml:space="preserve"> are assessed at the conclusion of the matter –after settlement or judgment. If you are entitled to costs, you must prepare a Bill of Costs.</w:t>
      </w:r>
    </w:p>
    <w:p w:rsidR="00A23239" w:rsidRDefault="00A23239" w:rsidP="00202397">
      <w:pPr>
        <w:pStyle w:val="ListParagraph"/>
        <w:numPr>
          <w:ilvl w:val="0"/>
          <w:numId w:val="7"/>
        </w:numPr>
        <w:jc w:val="both"/>
        <w:rPr>
          <w:rFonts w:ascii="Arial" w:hAnsi="Arial" w:cs="Arial"/>
          <w:sz w:val="24"/>
          <w:szCs w:val="24"/>
        </w:rPr>
      </w:pPr>
      <w:r w:rsidRPr="00A23239">
        <w:rPr>
          <w:rFonts w:ascii="Arial" w:hAnsi="Arial" w:cs="Arial"/>
          <w:sz w:val="24"/>
          <w:szCs w:val="24"/>
        </w:rPr>
        <w:t xml:space="preserve">A Bill of Costs lists a number </w:t>
      </w:r>
      <w:r>
        <w:rPr>
          <w:rFonts w:ascii="Arial" w:hAnsi="Arial" w:cs="Arial"/>
          <w:sz w:val="24"/>
          <w:szCs w:val="24"/>
        </w:rPr>
        <w:t>of categories of expenses and items you can claim</w:t>
      </w:r>
      <w:r w:rsidR="00994F56">
        <w:rPr>
          <w:rFonts w:ascii="Arial" w:hAnsi="Arial" w:cs="Arial"/>
          <w:sz w:val="24"/>
          <w:szCs w:val="24"/>
        </w:rPr>
        <w:t xml:space="preserve"> on the tariff</w:t>
      </w:r>
      <w:r>
        <w:rPr>
          <w:rFonts w:ascii="Arial" w:hAnsi="Arial" w:cs="Arial"/>
          <w:sz w:val="24"/>
          <w:szCs w:val="24"/>
        </w:rPr>
        <w:t>;</w:t>
      </w:r>
    </w:p>
    <w:p w:rsidR="00A23239" w:rsidRDefault="00A23239" w:rsidP="00202397">
      <w:pPr>
        <w:pStyle w:val="ListParagraph"/>
        <w:numPr>
          <w:ilvl w:val="0"/>
          <w:numId w:val="7"/>
        </w:numPr>
        <w:jc w:val="both"/>
        <w:rPr>
          <w:rFonts w:ascii="Arial" w:hAnsi="Arial" w:cs="Arial"/>
          <w:sz w:val="24"/>
          <w:szCs w:val="24"/>
        </w:rPr>
      </w:pPr>
      <w:r>
        <w:rPr>
          <w:rFonts w:ascii="Arial" w:hAnsi="Arial" w:cs="Arial"/>
          <w:sz w:val="24"/>
          <w:szCs w:val="24"/>
        </w:rPr>
        <w:t>For each category, the party indicates the amount of “units” expended in relation to it;</w:t>
      </w:r>
    </w:p>
    <w:p w:rsidR="00A23239" w:rsidRDefault="00A23239" w:rsidP="00202397">
      <w:pPr>
        <w:pStyle w:val="ListParagraph"/>
        <w:numPr>
          <w:ilvl w:val="0"/>
          <w:numId w:val="7"/>
        </w:numPr>
        <w:jc w:val="both"/>
        <w:rPr>
          <w:rFonts w:ascii="Arial" w:hAnsi="Arial" w:cs="Arial"/>
          <w:sz w:val="24"/>
          <w:szCs w:val="24"/>
        </w:rPr>
      </w:pPr>
      <w:r>
        <w:rPr>
          <w:rFonts w:ascii="Arial" w:hAnsi="Arial" w:cs="Arial"/>
          <w:sz w:val="24"/>
          <w:szCs w:val="24"/>
        </w:rPr>
        <w:t xml:space="preserve">There </w:t>
      </w:r>
      <w:r w:rsidR="00676A12">
        <w:rPr>
          <w:rFonts w:ascii="Arial" w:hAnsi="Arial" w:cs="Arial"/>
          <w:sz w:val="24"/>
          <w:szCs w:val="24"/>
        </w:rPr>
        <w:t xml:space="preserve">may be a state minimum and maximum for particular items, some are set at an assigned number; </w:t>
      </w:r>
    </w:p>
    <w:p w:rsidR="00A23239" w:rsidRDefault="00A23239" w:rsidP="00202397">
      <w:pPr>
        <w:pStyle w:val="ListParagraph"/>
        <w:numPr>
          <w:ilvl w:val="0"/>
          <w:numId w:val="7"/>
        </w:numPr>
        <w:jc w:val="both"/>
        <w:rPr>
          <w:rFonts w:ascii="Arial" w:hAnsi="Arial" w:cs="Arial"/>
          <w:sz w:val="24"/>
          <w:szCs w:val="24"/>
        </w:rPr>
      </w:pPr>
      <w:r>
        <w:rPr>
          <w:rFonts w:ascii="Arial" w:hAnsi="Arial" w:cs="Arial"/>
          <w:sz w:val="24"/>
          <w:szCs w:val="24"/>
        </w:rPr>
        <w:t>The total number of units is then added up and multiplied by the unit value according to the prescribed scale of costs.</w:t>
      </w:r>
    </w:p>
    <w:p w:rsidR="00676A12" w:rsidRPr="00676A12" w:rsidRDefault="00676A12" w:rsidP="003E2734">
      <w:pPr>
        <w:jc w:val="both"/>
        <w:rPr>
          <w:rFonts w:ascii="Arial" w:hAnsi="Arial" w:cs="Arial"/>
          <w:sz w:val="24"/>
          <w:szCs w:val="24"/>
        </w:rPr>
      </w:pPr>
      <w:r>
        <w:rPr>
          <w:rFonts w:ascii="Arial" w:hAnsi="Arial" w:cs="Arial"/>
          <w:sz w:val="24"/>
          <w:szCs w:val="24"/>
        </w:rPr>
        <w:t xml:space="preserve">In addition to the Bill of Costs, you must prepare a list of disbursements for things like: court filing fees, photocopying, faxes, amounts paid to experts, witness fees, etc. </w:t>
      </w:r>
    </w:p>
    <w:p w:rsidR="00A23239" w:rsidRDefault="00A23239" w:rsidP="003E2734">
      <w:pPr>
        <w:jc w:val="both"/>
        <w:rPr>
          <w:rFonts w:ascii="Arial" w:hAnsi="Arial" w:cs="Arial"/>
          <w:sz w:val="24"/>
          <w:szCs w:val="24"/>
        </w:rPr>
      </w:pPr>
      <w:r>
        <w:rPr>
          <w:rFonts w:ascii="Arial" w:hAnsi="Arial" w:cs="Arial"/>
          <w:sz w:val="24"/>
          <w:szCs w:val="24"/>
        </w:rPr>
        <w:t xml:space="preserve">It is important for plaintiff’s counsel to have an understanding of what costs have been incurred. Settlement offers are presented as </w:t>
      </w:r>
      <w:r>
        <w:rPr>
          <w:rFonts w:ascii="Arial" w:hAnsi="Arial" w:cs="Arial"/>
          <w:i/>
          <w:sz w:val="24"/>
          <w:szCs w:val="24"/>
        </w:rPr>
        <w:t>plus reasonable costs and disbursements</w:t>
      </w:r>
      <w:r>
        <w:rPr>
          <w:rFonts w:ascii="Arial" w:hAnsi="Arial" w:cs="Arial"/>
          <w:sz w:val="24"/>
          <w:szCs w:val="24"/>
        </w:rPr>
        <w:t xml:space="preserve"> or </w:t>
      </w:r>
      <w:r w:rsidR="00676A12">
        <w:rPr>
          <w:rFonts w:ascii="Arial" w:hAnsi="Arial" w:cs="Arial"/>
          <w:i/>
          <w:sz w:val="24"/>
          <w:szCs w:val="24"/>
        </w:rPr>
        <w:t>all inclusive</w:t>
      </w:r>
      <w:r w:rsidR="00676A12">
        <w:rPr>
          <w:rFonts w:ascii="Arial" w:hAnsi="Arial" w:cs="Arial"/>
          <w:sz w:val="24"/>
          <w:szCs w:val="24"/>
        </w:rPr>
        <w:t xml:space="preserve">. When the latter is presented, the client must be advised of what costs and disbursements will be deducted from that total. </w:t>
      </w:r>
    </w:p>
    <w:p w:rsidR="00676A12" w:rsidRDefault="00676A12" w:rsidP="003E2734">
      <w:pPr>
        <w:jc w:val="both"/>
        <w:rPr>
          <w:rFonts w:ascii="Arial" w:hAnsi="Arial" w:cs="Arial"/>
          <w:sz w:val="24"/>
          <w:szCs w:val="24"/>
        </w:rPr>
      </w:pPr>
      <w:r>
        <w:rPr>
          <w:rFonts w:ascii="Arial" w:hAnsi="Arial" w:cs="Arial"/>
          <w:sz w:val="24"/>
          <w:szCs w:val="24"/>
        </w:rPr>
        <w:t>Once the Bill of Costs and disbursements are completed, they are sent to the other party for agreement.</w:t>
      </w:r>
    </w:p>
    <w:p w:rsidR="005B29A4" w:rsidRDefault="00676A12" w:rsidP="003E2734">
      <w:pPr>
        <w:jc w:val="both"/>
        <w:rPr>
          <w:rFonts w:ascii="Arial" w:hAnsi="Arial" w:cs="Arial"/>
          <w:sz w:val="24"/>
          <w:szCs w:val="24"/>
        </w:rPr>
      </w:pPr>
      <w:r>
        <w:rPr>
          <w:rFonts w:ascii="Arial" w:hAnsi="Arial" w:cs="Arial"/>
          <w:sz w:val="24"/>
          <w:szCs w:val="24"/>
        </w:rPr>
        <w:t xml:space="preserve">If </w:t>
      </w:r>
      <w:r w:rsidR="0066146C">
        <w:rPr>
          <w:rFonts w:ascii="Arial" w:hAnsi="Arial" w:cs="Arial"/>
          <w:sz w:val="24"/>
          <w:szCs w:val="24"/>
        </w:rPr>
        <w:t>agreement is not reached, an appointment is made to have the costs assessed by the Registrar of the Supreme Court – this process is ref</w:t>
      </w:r>
      <w:r w:rsidR="005B29A4">
        <w:rPr>
          <w:rFonts w:ascii="Arial" w:hAnsi="Arial" w:cs="Arial"/>
          <w:sz w:val="24"/>
          <w:szCs w:val="24"/>
        </w:rPr>
        <w:t xml:space="preserve">erred to as a Taxation Hearing. </w:t>
      </w:r>
    </w:p>
    <w:p w:rsidR="00676A12" w:rsidRDefault="005B29A4" w:rsidP="003E2734">
      <w:pPr>
        <w:jc w:val="both"/>
        <w:rPr>
          <w:rFonts w:ascii="Arial" w:hAnsi="Arial" w:cs="Arial"/>
          <w:sz w:val="24"/>
          <w:szCs w:val="24"/>
        </w:rPr>
      </w:pPr>
      <w:r>
        <w:rPr>
          <w:rFonts w:ascii="Arial" w:hAnsi="Arial" w:cs="Arial"/>
          <w:sz w:val="24"/>
          <w:szCs w:val="24"/>
        </w:rPr>
        <w:t xml:space="preserve">Parties will prepare submissions addressing any disputed costs and disbursements, justifying their claims. At the Taxation: </w:t>
      </w:r>
    </w:p>
    <w:p w:rsidR="0066146C" w:rsidRDefault="0066146C" w:rsidP="00202397">
      <w:pPr>
        <w:pStyle w:val="ListParagraph"/>
        <w:numPr>
          <w:ilvl w:val="0"/>
          <w:numId w:val="8"/>
        </w:numPr>
        <w:jc w:val="both"/>
        <w:rPr>
          <w:rFonts w:ascii="Arial" w:hAnsi="Arial" w:cs="Arial"/>
          <w:sz w:val="24"/>
          <w:szCs w:val="24"/>
        </w:rPr>
      </w:pPr>
      <w:r>
        <w:rPr>
          <w:rFonts w:ascii="Arial" w:hAnsi="Arial" w:cs="Arial"/>
          <w:sz w:val="24"/>
          <w:szCs w:val="24"/>
        </w:rPr>
        <w:t>Go through the Bill of Costs with the Registrar;</w:t>
      </w:r>
    </w:p>
    <w:p w:rsidR="0066146C" w:rsidRDefault="0066146C" w:rsidP="00202397">
      <w:pPr>
        <w:pStyle w:val="ListParagraph"/>
        <w:numPr>
          <w:ilvl w:val="0"/>
          <w:numId w:val="8"/>
        </w:numPr>
        <w:jc w:val="both"/>
        <w:rPr>
          <w:rFonts w:ascii="Arial" w:hAnsi="Arial" w:cs="Arial"/>
          <w:sz w:val="24"/>
          <w:szCs w:val="24"/>
        </w:rPr>
      </w:pPr>
      <w:r>
        <w:rPr>
          <w:rFonts w:ascii="Arial" w:hAnsi="Arial" w:cs="Arial"/>
          <w:sz w:val="24"/>
          <w:szCs w:val="24"/>
        </w:rPr>
        <w:t>Provide justification via invoices, receipts, affidavit evidence;</w:t>
      </w:r>
    </w:p>
    <w:p w:rsidR="0066146C" w:rsidRDefault="0066146C" w:rsidP="00202397">
      <w:pPr>
        <w:pStyle w:val="ListParagraph"/>
        <w:numPr>
          <w:ilvl w:val="0"/>
          <w:numId w:val="8"/>
        </w:numPr>
        <w:jc w:val="both"/>
        <w:rPr>
          <w:rFonts w:ascii="Arial" w:hAnsi="Arial" w:cs="Arial"/>
          <w:sz w:val="24"/>
          <w:szCs w:val="24"/>
        </w:rPr>
      </w:pPr>
      <w:r>
        <w:rPr>
          <w:rFonts w:ascii="Arial" w:hAnsi="Arial" w:cs="Arial"/>
          <w:sz w:val="24"/>
          <w:szCs w:val="24"/>
        </w:rPr>
        <w:t>Registrar will sign a certificate of costs;</w:t>
      </w:r>
    </w:p>
    <w:p w:rsidR="0066146C" w:rsidRPr="0066146C" w:rsidRDefault="0066146C" w:rsidP="00202397">
      <w:pPr>
        <w:pStyle w:val="ListParagraph"/>
        <w:numPr>
          <w:ilvl w:val="0"/>
          <w:numId w:val="8"/>
        </w:numPr>
        <w:jc w:val="both"/>
        <w:rPr>
          <w:rFonts w:ascii="Arial" w:hAnsi="Arial" w:cs="Arial"/>
          <w:sz w:val="24"/>
          <w:szCs w:val="24"/>
        </w:rPr>
      </w:pPr>
      <w:r>
        <w:rPr>
          <w:rFonts w:ascii="Arial" w:hAnsi="Arial" w:cs="Arial"/>
          <w:sz w:val="24"/>
          <w:szCs w:val="24"/>
        </w:rPr>
        <w:t>The filed certificate becomes enforceable as a judgment.</w:t>
      </w:r>
    </w:p>
    <w:p w:rsidR="0066146C" w:rsidRDefault="0066146C" w:rsidP="003E2734">
      <w:pPr>
        <w:pStyle w:val="ListParagraph"/>
        <w:jc w:val="both"/>
        <w:rPr>
          <w:rFonts w:ascii="Arial" w:hAnsi="Arial" w:cs="Arial"/>
          <w:b/>
          <w:sz w:val="24"/>
          <w:szCs w:val="24"/>
        </w:rPr>
      </w:pPr>
    </w:p>
    <w:p w:rsidR="00554560" w:rsidRPr="00997A33" w:rsidRDefault="00554560" w:rsidP="00202397">
      <w:pPr>
        <w:pStyle w:val="ListParagraph"/>
        <w:keepNext/>
        <w:keepLines/>
        <w:numPr>
          <w:ilvl w:val="0"/>
          <w:numId w:val="20"/>
        </w:numPr>
        <w:ind w:hanging="720"/>
        <w:jc w:val="both"/>
        <w:rPr>
          <w:rFonts w:ascii="Arial" w:hAnsi="Arial" w:cs="Arial"/>
          <w:b/>
          <w:sz w:val="24"/>
          <w:szCs w:val="24"/>
        </w:rPr>
      </w:pPr>
      <w:r w:rsidRPr="00997A33">
        <w:rPr>
          <w:rFonts w:ascii="Arial" w:hAnsi="Arial" w:cs="Arial"/>
          <w:b/>
          <w:sz w:val="24"/>
          <w:szCs w:val="24"/>
        </w:rPr>
        <w:t>Subrogated Claims</w:t>
      </w:r>
    </w:p>
    <w:p w:rsidR="0021701D" w:rsidRDefault="0021701D" w:rsidP="003E2734">
      <w:pPr>
        <w:jc w:val="both"/>
        <w:rPr>
          <w:rFonts w:ascii="Arial" w:hAnsi="Arial" w:cs="Arial"/>
          <w:sz w:val="24"/>
          <w:szCs w:val="24"/>
        </w:rPr>
      </w:pPr>
      <w:r>
        <w:rPr>
          <w:rFonts w:ascii="Arial" w:hAnsi="Arial" w:cs="Arial"/>
          <w:sz w:val="24"/>
          <w:szCs w:val="24"/>
        </w:rPr>
        <w:t>Subrogation is a term that describes an insurer’s legal right by contract to pursue a third party wrongdoer for an indemnity paid to the insured, by stepping into the insured’s shoes. Subrogation clauses exist in most insurance policies, including in short and long-term disability benefit policies, and extended health care policies.</w:t>
      </w:r>
    </w:p>
    <w:p w:rsidR="00554560" w:rsidRDefault="0021701D" w:rsidP="003E2734">
      <w:pPr>
        <w:jc w:val="both"/>
        <w:rPr>
          <w:rFonts w:ascii="Arial" w:hAnsi="Arial" w:cs="Arial"/>
          <w:sz w:val="24"/>
          <w:szCs w:val="24"/>
        </w:rPr>
      </w:pPr>
      <w:r>
        <w:rPr>
          <w:rFonts w:ascii="Arial" w:hAnsi="Arial" w:cs="Arial"/>
          <w:sz w:val="24"/>
          <w:szCs w:val="24"/>
        </w:rPr>
        <w:t>Thus, in</w:t>
      </w:r>
      <w:r w:rsidR="00554560">
        <w:rPr>
          <w:rFonts w:ascii="Arial" w:hAnsi="Arial" w:cs="Arial"/>
          <w:sz w:val="24"/>
          <w:szCs w:val="24"/>
        </w:rPr>
        <w:t xml:space="preserve"> addition to legal fees, costs, and disbursements, there may be subrogated interests</w:t>
      </w:r>
      <w:r w:rsidR="0059545B">
        <w:rPr>
          <w:rFonts w:ascii="Arial" w:hAnsi="Arial" w:cs="Arial"/>
          <w:sz w:val="24"/>
          <w:szCs w:val="24"/>
        </w:rPr>
        <w:t xml:space="preserve"> that </w:t>
      </w:r>
      <w:r>
        <w:rPr>
          <w:rFonts w:ascii="Arial" w:hAnsi="Arial" w:cs="Arial"/>
          <w:sz w:val="24"/>
          <w:szCs w:val="24"/>
        </w:rPr>
        <w:t>have to</w:t>
      </w:r>
      <w:r w:rsidR="0059545B">
        <w:rPr>
          <w:rFonts w:ascii="Arial" w:hAnsi="Arial" w:cs="Arial"/>
          <w:sz w:val="24"/>
          <w:szCs w:val="24"/>
        </w:rPr>
        <w:t xml:space="preserve"> be paid out of the </w:t>
      </w:r>
      <w:r>
        <w:rPr>
          <w:rFonts w:ascii="Arial" w:hAnsi="Arial" w:cs="Arial"/>
          <w:sz w:val="24"/>
          <w:szCs w:val="24"/>
        </w:rPr>
        <w:t xml:space="preserve">plaintiff’s </w:t>
      </w:r>
      <w:r w:rsidR="0059545B">
        <w:rPr>
          <w:rFonts w:ascii="Arial" w:hAnsi="Arial" w:cs="Arial"/>
          <w:sz w:val="24"/>
          <w:szCs w:val="24"/>
        </w:rPr>
        <w:t xml:space="preserve">settlement funds. </w:t>
      </w:r>
    </w:p>
    <w:p w:rsidR="0059545B" w:rsidRDefault="0059545B" w:rsidP="003E2734">
      <w:pPr>
        <w:jc w:val="both"/>
        <w:rPr>
          <w:rFonts w:ascii="Arial" w:hAnsi="Arial" w:cs="Arial"/>
          <w:sz w:val="24"/>
          <w:szCs w:val="24"/>
        </w:rPr>
      </w:pPr>
      <w:r>
        <w:rPr>
          <w:rFonts w:ascii="Arial" w:hAnsi="Arial" w:cs="Arial"/>
          <w:sz w:val="24"/>
          <w:szCs w:val="24"/>
        </w:rPr>
        <w:t xml:space="preserve">These claims are </w:t>
      </w:r>
      <w:r w:rsidR="0071388B">
        <w:rPr>
          <w:rFonts w:ascii="Arial" w:hAnsi="Arial" w:cs="Arial"/>
          <w:sz w:val="24"/>
          <w:szCs w:val="24"/>
        </w:rPr>
        <w:t>generally negotiable, depending on the terms of the advanced benefits.</w:t>
      </w:r>
    </w:p>
    <w:p w:rsidR="0071388B" w:rsidRDefault="0071388B" w:rsidP="003E2734">
      <w:pPr>
        <w:jc w:val="both"/>
        <w:rPr>
          <w:rFonts w:ascii="Arial" w:hAnsi="Arial" w:cs="Arial"/>
          <w:sz w:val="24"/>
          <w:szCs w:val="24"/>
        </w:rPr>
      </w:pPr>
      <w:r>
        <w:rPr>
          <w:rFonts w:ascii="Arial" w:hAnsi="Arial" w:cs="Arial"/>
          <w:sz w:val="24"/>
          <w:szCs w:val="24"/>
        </w:rPr>
        <w:t xml:space="preserve">Some employers or trusts </w:t>
      </w:r>
      <w:r w:rsidR="0021701D">
        <w:rPr>
          <w:rFonts w:ascii="Arial" w:hAnsi="Arial" w:cs="Arial"/>
          <w:sz w:val="24"/>
          <w:szCs w:val="24"/>
        </w:rPr>
        <w:t xml:space="preserve">providing disability benefits </w:t>
      </w:r>
      <w:r>
        <w:rPr>
          <w:rFonts w:ascii="Arial" w:hAnsi="Arial" w:cs="Arial"/>
          <w:sz w:val="24"/>
          <w:szCs w:val="24"/>
        </w:rPr>
        <w:t xml:space="preserve">require 100% repayment.  </w:t>
      </w:r>
    </w:p>
    <w:p w:rsidR="0059545B" w:rsidRPr="0071388B" w:rsidRDefault="0071388B" w:rsidP="0071388B">
      <w:pPr>
        <w:jc w:val="both"/>
        <w:rPr>
          <w:rFonts w:ascii="Arial" w:hAnsi="Arial" w:cs="Arial"/>
          <w:sz w:val="24"/>
          <w:szCs w:val="24"/>
        </w:rPr>
      </w:pPr>
      <w:r>
        <w:rPr>
          <w:rFonts w:ascii="Arial" w:hAnsi="Arial" w:cs="Arial"/>
          <w:sz w:val="24"/>
          <w:szCs w:val="24"/>
        </w:rPr>
        <w:t xml:space="preserve">It is critical to know who has a subrogated interest in the settlement or judgment and to resolve those interests on behalf of the client before disbursing settlement funds to the client. </w:t>
      </w:r>
    </w:p>
    <w:p w:rsidR="0024625E" w:rsidRPr="00997A33" w:rsidRDefault="0024625E" w:rsidP="00202397">
      <w:pPr>
        <w:pStyle w:val="ListParagraph"/>
        <w:numPr>
          <w:ilvl w:val="0"/>
          <w:numId w:val="20"/>
        </w:numPr>
        <w:ind w:hanging="720"/>
        <w:jc w:val="both"/>
        <w:rPr>
          <w:rFonts w:ascii="Arial" w:hAnsi="Arial" w:cs="Arial"/>
          <w:b/>
          <w:i/>
          <w:sz w:val="24"/>
          <w:szCs w:val="24"/>
        </w:rPr>
      </w:pPr>
      <w:r w:rsidRPr="00997A33">
        <w:rPr>
          <w:rFonts w:ascii="Arial" w:hAnsi="Arial" w:cs="Arial"/>
          <w:b/>
          <w:i/>
          <w:sz w:val="24"/>
          <w:szCs w:val="24"/>
        </w:rPr>
        <w:t xml:space="preserve">Health Care Costs Recovery Act </w:t>
      </w:r>
    </w:p>
    <w:p w:rsidR="0071388B" w:rsidRDefault="0021701D" w:rsidP="0071388B">
      <w:pPr>
        <w:jc w:val="both"/>
        <w:rPr>
          <w:rFonts w:ascii="Arial" w:hAnsi="Arial" w:cs="Arial"/>
          <w:sz w:val="24"/>
          <w:szCs w:val="24"/>
        </w:rPr>
      </w:pPr>
      <w:r>
        <w:rPr>
          <w:rFonts w:ascii="Arial" w:hAnsi="Arial" w:cs="Arial"/>
          <w:sz w:val="24"/>
          <w:szCs w:val="24"/>
        </w:rPr>
        <w:t xml:space="preserve">The Province of British Columbia is entitled, by statute, to recovery of any health care costs expended to an MSP beneficiary if that beneficiary is injured as a result of a negligent third party, under the </w:t>
      </w:r>
      <w:r>
        <w:rPr>
          <w:rFonts w:ascii="Arial" w:hAnsi="Arial" w:cs="Arial"/>
          <w:i/>
          <w:sz w:val="24"/>
          <w:szCs w:val="24"/>
        </w:rPr>
        <w:t>Health Care Costs Recovery Act</w:t>
      </w:r>
      <w:r>
        <w:rPr>
          <w:rFonts w:ascii="Arial" w:hAnsi="Arial" w:cs="Arial"/>
          <w:sz w:val="24"/>
          <w:szCs w:val="24"/>
        </w:rPr>
        <w:t xml:space="preserve">, SBC 2008, c. 27.  The </w:t>
      </w:r>
      <w:r>
        <w:rPr>
          <w:rFonts w:ascii="Arial" w:hAnsi="Arial" w:cs="Arial"/>
          <w:i/>
          <w:sz w:val="24"/>
          <w:szCs w:val="24"/>
        </w:rPr>
        <w:t>Act</w:t>
      </w:r>
      <w:r>
        <w:rPr>
          <w:rFonts w:ascii="Arial" w:hAnsi="Arial" w:cs="Arial"/>
          <w:sz w:val="24"/>
          <w:szCs w:val="24"/>
        </w:rPr>
        <w:t xml:space="preserve"> does not apply to ICBC-insured </w:t>
      </w:r>
      <w:proofErr w:type="spellStart"/>
      <w:r>
        <w:rPr>
          <w:rFonts w:ascii="Arial" w:hAnsi="Arial" w:cs="Arial"/>
          <w:sz w:val="24"/>
          <w:szCs w:val="24"/>
        </w:rPr>
        <w:t>tortfeasors</w:t>
      </w:r>
      <w:proofErr w:type="spellEnd"/>
      <w:r>
        <w:rPr>
          <w:rFonts w:ascii="Arial" w:hAnsi="Arial" w:cs="Arial"/>
          <w:sz w:val="24"/>
          <w:szCs w:val="24"/>
        </w:rPr>
        <w:t>, for obvious reasons (no point in moving funds from one government pocket to another).  It does apply to all non-ICBC insurers of all accidents, including slips and falls, aviation accidents, medical malpractice, etc.</w:t>
      </w:r>
    </w:p>
    <w:p w:rsidR="0021701D" w:rsidRDefault="0021701D" w:rsidP="0071388B">
      <w:pPr>
        <w:jc w:val="both"/>
        <w:rPr>
          <w:rFonts w:ascii="Arial" w:hAnsi="Arial" w:cs="Arial"/>
          <w:sz w:val="24"/>
          <w:szCs w:val="24"/>
        </w:rPr>
      </w:pPr>
      <w:r>
        <w:rPr>
          <w:rFonts w:ascii="Arial" w:hAnsi="Arial" w:cs="Arial"/>
          <w:sz w:val="24"/>
          <w:szCs w:val="24"/>
        </w:rPr>
        <w:t xml:space="preserve">Under the </w:t>
      </w:r>
      <w:r>
        <w:rPr>
          <w:rFonts w:ascii="Arial" w:hAnsi="Arial" w:cs="Arial"/>
          <w:i/>
          <w:sz w:val="24"/>
          <w:szCs w:val="24"/>
        </w:rPr>
        <w:t xml:space="preserve">Act, </w:t>
      </w:r>
      <w:r>
        <w:rPr>
          <w:rFonts w:ascii="Arial" w:hAnsi="Arial" w:cs="Arial"/>
          <w:sz w:val="24"/>
          <w:szCs w:val="24"/>
        </w:rPr>
        <w:t xml:space="preserve">it is </w:t>
      </w:r>
      <w:r>
        <w:rPr>
          <w:rFonts w:ascii="Arial" w:hAnsi="Arial" w:cs="Arial"/>
          <w:sz w:val="24"/>
          <w:szCs w:val="24"/>
          <w:u w:val="single"/>
        </w:rPr>
        <w:t>mandatory</w:t>
      </w:r>
      <w:r>
        <w:rPr>
          <w:rFonts w:ascii="Arial" w:hAnsi="Arial" w:cs="Arial"/>
          <w:sz w:val="24"/>
          <w:szCs w:val="24"/>
        </w:rPr>
        <w:t xml:space="preserve"> for parties to put the Province on notic</w:t>
      </w:r>
      <w:r w:rsidR="00527133">
        <w:rPr>
          <w:rFonts w:ascii="Arial" w:hAnsi="Arial" w:cs="Arial"/>
          <w:sz w:val="24"/>
          <w:szCs w:val="24"/>
        </w:rPr>
        <w:t xml:space="preserve">e of claims and settlements.  If the Province does not sign off on a settlement, the settlement may not be enforceable. </w:t>
      </w:r>
    </w:p>
    <w:p w:rsidR="00527133" w:rsidRDefault="00527133" w:rsidP="0071388B">
      <w:pPr>
        <w:jc w:val="both"/>
        <w:rPr>
          <w:rFonts w:ascii="Arial" w:hAnsi="Arial" w:cs="Arial"/>
          <w:color w:val="000000"/>
          <w:sz w:val="24"/>
        </w:rPr>
      </w:pPr>
      <w:r>
        <w:rPr>
          <w:rFonts w:ascii="Arial" w:hAnsi="Arial" w:cs="Arial"/>
          <w:sz w:val="24"/>
          <w:szCs w:val="24"/>
        </w:rPr>
        <w:t xml:space="preserve">In </w:t>
      </w:r>
      <w:r>
        <w:rPr>
          <w:rFonts w:ascii="Arial" w:hAnsi="Arial" w:cs="Arial"/>
          <w:i/>
          <w:sz w:val="24"/>
          <w:szCs w:val="24"/>
        </w:rPr>
        <w:t xml:space="preserve">Woo v. Crème de la Crumb, </w:t>
      </w:r>
      <w:hyperlink r:id="rId15" w:history="1">
        <w:r w:rsidRPr="00527133">
          <w:rPr>
            <w:rStyle w:val="Hyperlink"/>
            <w:rFonts w:ascii="Arial" w:hAnsi="Arial" w:cs="Arial"/>
            <w:sz w:val="24"/>
          </w:rPr>
          <w:t>2020 BCSC 0042</w:t>
        </w:r>
      </w:hyperlink>
      <w:r>
        <w:rPr>
          <w:rFonts w:ascii="Arial" w:hAnsi="Arial" w:cs="Arial"/>
          <w:sz w:val="24"/>
        </w:rPr>
        <w:t xml:space="preserve">, the plaintiff beneficiary was catastrophically injured as a result of falling from a ladder at the defendant bakery’s premises. The Ministry’s claim, set out in its Certificate, totaled </w:t>
      </w:r>
      <w:r w:rsidRPr="00527133">
        <w:rPr>
          <w:rFonts w:ascii="Arial" w:hAnsi="Arial" w:cs="Arial"/>
          <w:bCs/>
          <w:color w:val="000000"/>
          <w:sz w:val="24"/>
        </w:rPr>
        <w:t>$801,170.12</w:t>
      </w:r>
      <w:r w:rsidRPr="00527133">
        <w:rPr>
          <w:rFonts w:ascii="Arial" w:hAnsi="Arial" w:cs="Arial"/>
          <w:color w:val="000000"/>
          <w:sz w:val="24"/>
        </w:rPr>
        <w:t xml:space="preserve">. </w:t>
      </w:r>
      <w:r>
        <w:rPr>
          <w:rFonts w:ascii="Arial" w:hAnsi="Arial" w:cs="Arial"/>
          <w:color w:val="000000"/>
          <w:sz w:val="24"/>
        </w:rPr>
        <w:t xml:space="preserve">The defendants challenged the admissibility of the Certificate. Mr. Justice </w:t>
      </w:r>
      <w:proofErr w:type="spellStart"/>
      <w:r>
        <w:rPr>
          <w:rFonts w:ascii="Arial" w:hAnsi="Arial" w:cs="Arial"/>
          <w:color w:val="000000"/>
          <w:sz w:val="24"/>
        </w:rPr>
        <w:t>Skoolrod</w:t>
      </w:r>
      <w:proofErr w:type="spellEnd"/>
      <w:r>
        <w:rPr>
          <w:rFonts w:ascii="Arial" w:hAnsi="Arial" w:cs="Arial"/>
          <w:color w:val="000000"/>
          <w:sz w:val="24"/>
        </w:rPr>
        <w:t xml:space="preserve"> found it admissible, reasoning as follows:  </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[23]</w:t>
      </w:r>
      <w:r w:rsidRPr="00527133">
        <w:rPr>
          <w:color w:val="000000"/>
          <w:sz w:val="10"/>
          <w:szCs w:val="14"/>
        </w:rPr>
        <w:t>         </w:t>
      </w:r>
      <w:r w:rsidRPr="00527133">
        <w:rPr>
          <w:rFonts w:ascii="Arial" w:hAnsi="Arial" w:cs="Arial"/>
          <w:color w:val="000000"/>
          <w:sz w:val="22"/>
          <w:szCs w:val="27"/>
        </w:rPr>
        <w:t>Returning to the Minister’s Certificate here, I agree with the defendant that the language used does not track directly with the wording of ss. 16(1) and (2). It is not clear why that is as it would be relatively straight forward to simply provide the information in the manner contemplated by ss. 16(1) and (2) and in the language used therein.</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[24]</w:t>
      </w:r>
      <w:r w:rsidRPr="00527133">
        <w:rPr>
          <w:color w:val="000000"/>
          <w:sz w:val="10"/>
          <w:szCs w:val="14"/>
        </w:rPr>
        <w:t>         </w:t>
      </w:r>
      <w:r w:rsidRPr="00527133">
        <w:rPr>
          <w:rFonts w:ascii="Arial" w:hAnsi="Arial" w:cs="Arial"/>
          <w:color w:val="000000"/>
          <w:sz w:val="22"/>
          <w:szCs w:val="27"/>
        </w:rPr>
        <w:t>That said, I am satisfied that the somewhat unartfully drafted Minister’s Certificate nonetheless conveys the information required by ss. 16(1) and (2). As noted, the first paragraph of the Minister’ s Certificate, after the preamble, certifies that Appendix “A” to the certificate sets out the “health care services claim” for the plaintiff for “personal injuries suffered as a result of the negligence or wrongful act or omission of a wrongdoer on or about 2015/02/17” (emphasis removed).</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[25]</w:t>
      </w:r>
      <w:r w:rsidRPr="00527133">
        <w:rPr>
          <w:color w:val="000000"/>
          <w:sz w:val="10"/>
          <w:szCs w:val="14"/>
        </w:rPr>
        <w:t>         </w:t>
      </w:r>
      <w:r w:rsidRPr="00527133">
        <w:rPr>
          <w:rFonts w:ascii="Arial" w:hAnsi="Arial" w:cs="Arial"/>
          <w:color w:val="000000"/>
          <w:sz w:val="22"/>
          <w:szCs w:val="27"/>
        </w:rPr>
        <w:t>Again, “health care services claim” is defined to mean “a claim for the recovery of the past and future costs of health care services attributable to [the specified] personal injury”. The definitions of “past cost of health care services” and “future cost of health care services” make it clear that the specified costs are the costs of the health care services attributable to the personal injury. Further, Appendix “A” to the Minister’s Certificate, which sets out the various health care services and the associated costs, clearly identifies the plaintiff as the beneficiary as well as the date of the subject personal injury. In my view, it is clear to anyone reading the Minister’s Certificate that it identifies the health care services received by the plaintiff in respect of the personal injuries that were the subject of this litigation and the costs of those services, i.e. the information required by ss. 16(1) and (2).</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[26]</w:t>
      </w:r>
      <w:r w:rsidRPr="00527133">
        <w:rPr>
          <w:color w:val="000000"/>
          <w:sz w:val="10"/>
          <w:szCs w:val="14"/>
        </w:rPr>
        <w:t>         </w:t>
      </w:r>
      <w:r w:rsidRPr="00527133">
        <w:rPr>
          <w:rFonts w:ascii="Arial" w:hAnsi="Arial" w:cs="Arial"/>
          <w:color w:val="000000"/>
          <w:sz w:val="22"/>
          <w:szCs w:val="27"/>
        </w:rPr>
        <w:t>The defendant seeks to distinguish between a “claim” for recovery of health care costs, which is what it says is set out in the Minister’s Certificate, and a certification that the health care services were received by the plaintiff, which is what is required under s. 16(1). The defendant submits that the former is in the nature of a pleading whereas the latter is a material statement of fact.</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[27]</w:t>
      </w:r>
      <w:r w:rsidRPr="00527133">
        <w:rPr>
          <w:color w:val="000000"/>
          <w:sz w:val="10"/>
          <w:szCs w:val="14"/>
        </w:rPr>
        <w:t>         </w:t>
      </w:r>
      <w:r w:rsidRPr="00527133">
        <w:rPr>
          <w:rFonts w:ascii="Arial" w:hAnsi="Arial" w:cs="Arial"/>
          <w:color w:val="000000"/>
          <w:sz w:val="22"/>
          <w:szCs w:val="27"/>
        </w:rPr>
        <w:t>In the context of the </w:t>
      </w:r>
      <w:r w:rsidRPr="00527133">
        <w:rPr>
          <w:rFonts w:ascii="Arial" w:hAnsi="Arial" w:cs="Arial"/>
          <w:i/>
          <w:iCs/>
          <w:color w:val="000000"/>
          <w:sz w:val="22"/>
          <w:szCs w:val="27"/>
        </w:rPr>
        <w:t>HCCRA</w:t>
      </w:r>
      <w:r w:rsidRPr="00527133">
        <w:rPr>
          <w:rFonts w:ascii="Arial" w:hAnsi="Arial" w:cs="Arial"/>
          <w:color w:val="000000"/>
          <w:sz w:val="22"/>
          <w:szCs w:val="27"/>
        </w:rPr>
        <w:t> and the Minister’s Certificate, this is a distinction without a difference. Under the </w:t>
      </w:r>
      <w:r w:rsidRPr="00527133">
        <w:rPr>
          <w:rFonts w:ascii="Arial" w:hAnsi="Arial" w:cs="Arial"/>
          <w:i/>
          <w:iCs/>
          <w:color w:val="000000"/>
          <w:sz w:val="22"/>
          <w:szCs w:val="27"/>
        </w:rPr>
        <w:t>HCCRA</w:t>
      </w:r>
      <w:r w:rsidRPr="00527133">
        <w:rPr>
          <w:rFonts w:ascii="Arial" w:hAnsi="Arial" w:cs="Arial"/>
          <w:color w:val="000000"/>
          <w:sz w:val="22"/>
          <w:szCs w:val="27"/>
        </w:rPr>
        <w:t>, the only claim that may be advanced, either by the beneficiary (ss. 2 and 3) or by the government (ss. 7 and 8), is for recovery of the costs of health care services received by the beneficiary that are attributable to a wrongful act. The intent of a certificate issued under s. 16 is to identify both the relevant services and the associated costs. By listing the health care services and the costs in the appendix to the certificate, the Minister or his/her designate is stating the necessary material facts. Again, as I noted in para. 25 above, this should be clear to anyone reading the Minister’s Certificate.</w:t>
      </w:r>
    </w:p>
    <w:p w:rsidR="00527133" w:rsidRPr="009302DA" w:rsidRDefault="00527133" w:rsidP="009302DA">
      <w:pPr>
        <w:spacing w:before="240" w:after="240"/>
        <w:jc w:val="both"/>
        <w:rPr>
          <w:rFonts w:ascii="Arial" w:hAnsi="Arial" w:cs="Arial"/>
          <w:sz w:val="24"/>
          <w:szCs w:val="24"/>
        </w:rPr>
      </w:pPr>
      <w:r>
        <w:rPr>
          <w:rFonts w:ascii="Arial" w:hAnsi="Arial" w:cs="Arial"/>
          <w:sz w:val="24"/>
          <w:szCs w:val="24"/>
        </w:rPr>
        <w:t xml:space="preserve">Plaintiff’s counsel can accept a retainer to act on behalf of the Ministry in pursuit of the </w:t>
      </w:r>
      <w:r>
        <w:rPr>
          <w:rFonts w:ascii="Arial" w:hAnsi="Arial" w:cs="Arial"/>
          <w:i/>
          <w:sz w:val="24"/>
          <w:szCs w:val="24"/>
        </w:rPr>
        <w:t xml:space="preserve">HCCRA </w:t>
      </w:r>
      <w:r>
        <w:rPr>
          <w:rFonts w:ascii="Arial" w:hAnsi="Arial" w:cs="Arial"/>
          <w:sz w:val="24"/>
          <w:szCs w:val="24"/>
        </w:rPr>
        <w:t xml:space="preserve">claim, or not. Either way, it is critical to be </w:t>
      </w:r>
      <w:r w:rsidR="009302DA">
        <w:rPr>
          <w:rFonts w:ascii="Arial" w:hAnsi="Arial" w:cs="Arial"/>
          <w:sz w:val="24"/>
          <w:szCs w:val="24"/>
        </w:rPr>
        <w:t xml:space="preserve">cognizant of counsel’s obligations under the </w:t>
      </w:r>
      <w:r w:rsidR="009302DA">
        <w:rPr>
          <w:rFonts w:ascii="Arial" w:hAnsi="Arial" w:cs="Arial"/>
          <w:i/>
          <w:sz w:val="24"/>
          <w:szCs w:val="24"/>
        </w:rPr>
        <w:t>Act</w:t>
      </w:r>
      <w:r w:rsidR="009302DA">
        <w:rPr>
          <w:rFonts w:ascii="Arial" w:hAnsi="Arial" w:cs="Arial"/>
          <w:sz w:val="24"/>
          <w:szCs w:val="24"/>
        </w:rPr>
        <w:t xml:space="preserve"> to ensure the Ministry is paid its due by the wrongdoer.</w:t>
      </w:r>
    </w:p>
    <w:p w:rsidR="0071388B" w:rsidRDefault="009302DA" w:rsidP="0071388B">
      <w:pPr>
        <w:jc w:val="both"/>
        <w:rPr>
          <w:rFonts w:ascii="Arial" w:hAnsi="Arial" w:cs="Arial"/>
          <w:sz w:val="24"/>
          <w:szCs w:val="24"/>
        </w:rPr>
      </w:pPr>
      <w:r>
        <w:rPr>
          <w:rFonts w:ascii="Arial" w:hAnsi="Arial" w:cs="Arial"/>
          <w:sz w:val="24"/>
          <w:szCs w:val="24"/>
        </w:rPr>
        <w:t xml:space="preserve">Beware!  </w:t>
      </w:r>
      <w:r w:rsidRPr="009302DA">
        <w:rPr>
          <w:rFonts w:ascii="Arial" w:hAnsi="Arial" w:cs="Arial"/>
          <w:i/>
          <w:sz w:val="24"/>
          <w:szCs w:val="24"/>
        </w:rPr>
        <w:t>See</w:t>
      </w:r>
      <w:r>
        <w:rPr>
          <w:rFonts w:ascii="Arial" w:hAnsi="Arial" w:cs="Arial"/>
          <w:sz w:val="24"/>
          <w:szCs w:val="24"/>
        </w:rPr>
        <w:t xml:space="preserve">  </w:t>
      </w:r>
      <w:hyperlink r:id="rId16" w:history="1">
        <w:r w:rsidRPr="009302DA">
          <w:rPr>
            <w:rStyle w:val="Hyperlink"/>
            <w:rFonts w:ascii="Arial" w:hAnsi="Arial" w:cs="Arial"/>
            <w:sz w:val="24"/>
          </w:rPr>
          <w:t>2017 LSBC 25</w:t>
        </w:r>
      </w:hyperlink>
      <w:r w:rsidRPr="009302DA">
        <w:rPr>
          <w:sz w:val="24"/>
        </w:rPr>
        <w:t xml:space="preserve"> </w:t>
      </w:r>
      <w:r w:rsidR="0071388B" w:rsidRPr="009302DA">
        <w:rPr>
          <w:rFonts w:ascii="Arial" w:hAnsi="Arial" w:cs="Arial"/>
          <w:sz w:val="28"/>
          <w:szCs w:val="24"/>
        </w:rPr>
        <w:t xml:space="preserve"> </w:t>
      </w:r>
    </w:p>
    <w:p w:rsidR="0071388B" w:rsidRDefault="0071388B" w:rsidP="00202397">
      <w:pPr>
        <w:pStyle w:val="ListParagraph"/>
        <w:numPr>
          <w:ilvl w:val="0"/>
          <w:numId w:val="5"/>
        </w:numPr>
        <w:jc w:val="both"/>
        <w:rPr>
          <w:rFonts w:ascii="Arial" w:hAnsi="Arial" w:cs="Arial"/>
          <w:sz w:val="24"/>
          <w:szCs w:val="24"/>
        </w:rPr>
      </w:pPr>
      <w:r>
        <w:rPr>
          <w:rFonts w:ascii="Arial" w:hAnsi="Arial" w:cs="Arial"/>
          <w:sz w:val="24"/>
          <w:szCs w:val="24"/>
        </w:rPr>
        <w:t>Personal injury claim arising from a MVA in Washington;</w:t>
      </w:r>
    </w:p>
    <w:p w:rsidR="0071388B" w:rsidRDefault="0071388B" w:rsidP="00202397">
      <w:pPr>
        <w:pStyle w:val="ListParagraph"/>
        <w:numPr>
          <w:ilvl w:val="0"/>
          <w:numId w:val="5"/>
        </w:numPr>
        <w:jc w:val="both"/>
        <w:rPr>
          <w:rFonts w:ascii="Arial" w:hAnsi="Arial" w:cs="Arial"/>
          <w:sz w:val="24"/>
          <w:szCs w:val="24"/>
        </w:rPr>
      </w:pPr>
      <w:r>
        <w:rPr>
          <w:rFonts w:ascii="Arial" w:hAnsi="Arial" w:cs="Arial"/>
          <w:sz w:val="24"/>
          <w:szCs w:val="24"/>
        </w:rPr>
        <w:t>Ministry of Health had a subrogated claim</w:t>
      </w:r>
      <w:r w:rsidR="009302DA">
        <w:rPr>
          <w:rFonts w:ascii="Arial" w:hAnsi="Arial" w:cs="Arial"/>
          <w:sz w:val="24"/>
          <w:szCs w:val="24"/>
        </w:rPr>
        <w:t xml:space="preserve"> for medical costs paid for the beneficiary plaintiff’s out-of-country care in the U.S.</w:t>
      </w:r>
      <w:r>
        <w:rPr>
          <w:rFonts w:ascii="Arial" w:hAnsi="Arial" w:cs="Arial"/>
          <w:sz w:val="24"/>
          <w:szCs w:val="24"/>
        </w:rPr>
        <w:t>;</w:t>
      </w:r>
    </w:p>
    <w:p w:rsidR="0071388B" w:rsidRPr="0059545B" w:rsidRDefault="009302DA" w:rsidP="00202397">
      <w:pPr>
        <w:pStyle w:val="ListParagraph"/>
        <w:numPr>
          <w:ilvl w:val="0"/>
          <w:numId w:val="5"/>
        </w:numPr>
        <w:jc w:val="both"/>
        <w:rPr>
          <w:rFonts w:ascii="Arial" w:hAnsi="Arial" w:cs="Arial"/>
          <w:sz w:val="24"/>
          <w:szCs w:val="24"/>
        </w:rPr>
      </w:pPr>
      <w:r>
        <w:rPr>
          <w:rFonts w:ascii="Arial" w:hAnsi="Arial" w:cs="Arial"/>
          <w:sz w:val="24"/>
          <w:szCs w:val="24"/>
        </w:rPr>
        <w:t>The f</w:t>
      </w:r>
      <w:r w:rsidR="0071388B">
        <w:rPr>
          <w:rFonts w:ascii="Arial" w:hAnsi="Arial" w:cs="Arial"/>
          <w:sz w:val="24"/>
          <w:szCs w:val="24"/>
        </w:rPr>
        <w:t xml:space="preserve">ile settled and </w:t>
      </w:r>
      <w:r>
        <w:rPr>
          <w:rFonts w:ascii="Arial" w:hAnsi="Arial" w:cs="Arial"/>
          <w:sz w:val="24"/>
          <w:szCs w:val="24"/>
        </w:rPr>
        <w:t xml:space="preserve">the </w:t>
      </w:r>
      <w:r w:rsidR="0071388B">
        <w:rPr>
          <w:rFonts w:ascii="Arial" w:hAnsi="Arial" w:cs="Arial"/>
          <w:sz w:val="24"/>
          <w:szCs w:val="24"/>
        </w:rPr>
        <w:t>lawyer received the funds in trust for the client;</w:t>
      </w:r>
    </w:p>
    <w:p w:rsidR="0071388B" w:rsidRDefault="009302DA" w:rsidP="00202397">
      <w:pPr>
        <w:pStyle w:val="ListParagraph"/>
        <w:numPr>
          <w:ilvl w:val="0"/>
          <w:numId w:val="5"/>
        </w:numPr>
        <w:jc w:val="both"/>
        <w:rPr>
          <w:rFonts w:ascii="Arial" w:hAnsi="Arial" w:cs="Arial"/>
          <w:sz w:val="24"/>
          <w:szCs w:val="24"/>
        </w:rPr>
      </w:pPr>
      <w:r>
        <w:rPr>
          <w:rFonts w:ascii="Arial" w:hAnsi="Arial" w:cs="Arial"/>
          <w:sz w:val="24"/>
          <w:szCs w:val="24"/>
        </w:rPr>
        <w:t>The l</w:t>
      </w:r>
      <w:r w:rsidR="0071388B">
        <w:rPr>
          <w:rFonts w:ascii="Arial" w:hAnsi="Arial" w:cs="Arial"/>
          <w:sz w:val="24"/>
          <w:szCs w:val="24"/>
        </w:rPr>
        <w:t>awyer advised the client that $10,000 was owed to the Ministry of Health;</w:t>
      </w:r>
    </w:p>
    <w:p w:rsidR="0071388B" w:rsidRDefault="009302DA" w:rsidP="00202397">
      <w:pPr>
        <w:pStyle w:val="ListParagraph"/>
        <w:numPr>
          <w:ilvl w:val="0"/>
          <w:numId w:val="5"/>
        </w:numPr>
        <w:jc w:val="both"/>
        <w:rPr>
          <w:rFonts w:ascii="Arial" w:hAnsi="Arial" w:cs="Arial"/>
          <w:sz w:val="24"/>
          <w:szCs w:val="24"/>
        </w:rPr>
      </w:pPr>
      <w:r>
        <w:rPr>
          <w:rFonts w:ascii="Arial" w:hAnsi="Arial" w:cs="Arial"/>
          <w:sz w:val="24"/>
          <w:szCs w:val="24"/>
        </w:rPr>
        <w:t>The l</w:t>
      </w:r>
      <w:r w:rsidR="0071388B">
        <w:rPr>
          <w:rFonts w:ascii="Arial" w:hAnsi="Arial" w:cs="Arial"/>
          <w:sz w:val="24"/>
          <w:szCs w:val="24"/>
        </w:rPr>
        <w:t>awyer paid the client less his fee plus disbursements and subrogated claims, including the $10,202.20 owed to the Ministry of Health;</w:t>
      </w:r>
    </w:p>
    <w:p w:rsidR="0071388B" w:rsidRDefault="0071388B" w:rsidP="00202397">
      <w:pPr>
        <w:pStyle w:val="ListParagraph"/>
        <w:numPr>
          <w:ilvl w:val="0"/>
          <w:numId w:val="5"/>
        </w:numPr>
        <w:jc w:val="both"/>
        <w:rPr>
          <w:rFonts w:ascii="Arial" w:hAnsi="Arial" w:cs="Arial"/>
          <w:sz w:val="24"/>
          <w:szCs w:val="24"/>
        </w:rPr>
      </w:pPr>
      <w:r>
        <w:rPr>
          <w:rFonts w:ascii="Arial" w:hAnsi="Arial" w:cs="Arial"/>
          <w:sz w:val="24"/>
          <w:szCs w:val="24"/>
        </w:rPr>
        <w:t xml:space="preserve">Instead of paying it to the Ministry of Health, he </w:t>
      </w:r>
      <w:r w:rsidR="009302DA">
        <w:rPr>
          <w:rFonts w:ascii="Arial" w:hAnsi="Arial" w:cs="Arial"/>
          <w:sz w:val="24"/>
          <w:szCs w:val="24"/>
        </w:rPr>
        <w:t xml:space="preserve">mistakenly </w:t>
      </w:r>
      <w:r>
        <w:rPr>
          <w:rFonts w:ascii="Arial" w:hAnsi="Arial" w:cs="Arial"/>
          <w:sz w:val="24"/>
          <w:szCs w:val="24"/>
        </w:rPr>
        <w:t>transferred the funds to his personal account;</w:t>
      </w:r>
    </w:p>
    <w:p w:rsidR="0071388B" w:rsidRDefault="0071388B" w:rsidP="00202397">
      <w:pPr>
        <w:pStyle w:val="ListParagraph"/>
        <w:numPr>
          <w:ilvl w:val="0"/>
          <w:numId w:val="5"/>
        </w:numPr>
        <w:jc w:val="both"/>
        <w:rPr>
          <w:rFonts w:ascii="Arial" w:hAnsi="Arial" w:cs="Arial"/>
          <w:sz w:val="24"/>
          <w:szCs w:val="24"/>
        </w:rPr>
      </w:pPr>
      <w:r>
        <w:rPr>
          <w:rFonts w:ascii="Arial" w:hAnsi="Arial" w:cs="Arial"/>
          <w:sz w:val="24"/>
          <w:szCs w:val="24"/>
        </w:rPr>
        <w:t>The statement of account provided to the client noted that $10,202.20 had been paid to the Ministry of Health;</w:t>
      </w:r>
    </w:p>
    <w:p w:rsidR="0071388B" w:rsidRPr="009302DA" w:rsidRDefault="0071388B" w:rsidP="00202397">
      <w:pPr>
        <w:pStyle w:val="ListParagraph"/>
        <w:numPr>
          <w:ilvl w:val="0"/>
          <w:numId w:val="5"/>
        </w:numPr>
        <w:jc w:val="both"/>
        <w:rPr>
          <w:rFonts w:ascii="Arial" w:hAnsi="Arial" w:cs="Arial"/>
          <w:b/>
          <w:sz w:val="24"/>
          <w:szCs w:val="24"/>
        </w:rPr>
      </w:pPr>
      <w:r>
        <w:rPr>
          <w:rFonts w:ascii="Arial" w:hAnsi="Arial" w:cs="Arial"/>
          <w:sz w:val="24"/>
          <w:szCs w:val="24"/>
        </w:rPr>
        <w:t>The lawyer received a 30</w:t>
      </w:r>
      <w:r w:rsidR="009302DA">
        <w:rPr>
          <w:rFonts w:ascii="Arial" w:hAnsi="Arial" w:cs="Arial"/>
          <w:sz w:val="24"/>
          <w:szCs w:val="24"/>
        </w:rPr>
        <w:t>-</w:t>
      </w:r>
      <w:r>
        <w:rPr>
          <w:rFonts w:ascii="Arial" w:hAnsi="Arial" w:cs="Arial"/>
          <w:sz w:val="24"/>
          <w:szCs w:val="24"/>
        </w:rPr>
        <w:t xml:space="preserve">day suspension and was cited for misrepresentation to the client and breach of its agreement. </w:t>
      </w:r>
    </w:p>
    <w:p w:rsidR="009302DA" w:rsidRPr="0059545B" w:rsidRDefault="009302DA" w:rsidP="009302DA">
      <w:pPr>
        <w:pStyle w:val="ListParagraph"/>
        <w:jc w:val="both"/>
        <w:rPr>
          <w:rFonts w:ascii="Arial" w:hAnsi="Arial" w:cs="Arial"/>
          <w:b/>
          <w:sz w:val="24"/>
          <w:szCs w:val="24"/>
        </w:rPr>
      </w:pPr>
    </w:p>
    <w:p w:rsidR="00FC3E68" w:rsidRPr="00997A33" w:rsidRDefault="0066146C" w:rsidP="00202397">
      <w:pPr>
        <w:pStyle w:val="ListParagraph"/>
        <w:numPr>
          <w:ilvl w:val="0"/>
          <w:numId w:val="20"/>
        </w:numPr>
        <w:ind w:hanging="720"/>
        <w:jc w:val="both"/>
        <w:rPr>
          <w:rFonts w:ascii="Arial" w:hAnsi="Arial" w:cs="Arial"/>
          <w:b/>
          <w:sz w:val="24"/>
          <w:szCs w:val="24"/>
        </w:rPr>
      </w:pPr>
      <w:r w:rsidRPr="00997A33">
        <w:rPr>
          <w:rFonts w:ascii="Arial" w:hAnsi="Arial" w:cs="Arial"/>
          <w:b/>
          <w:sz w:val="24"/>
          <w:szCs w:val="24"/>
        </w:rPr>
        <w:t>Loans and A</w:t>
      </w:r>
      <w:r w:rsidR="00FC3E68" w:rsidRPr="00997A33">
        <w:rPr>
          <w:rFonts w:ascii="Arial" w:hAnsi="Arial" w:cs="Arial"/>
          <w:b/>
          <w:sz w:val="24"/>
          <w:szCs w:val="24"/>
        </w:rPr>
        <w:t xml:space="preserve">dvances to </w:t>
      </w:r>
      <w:r w:rsidRPr="00997A33">
        <w:rPr>
          <w:rFonts w:ascii="Arial" w:hAnsi="Arial" w:cs="Arial"/>
          <w:b/>
          <w:sz w:val="24"/>
          <w:szCs w:val="24"/>
        </w:rPr>
        <w:t>C</w:t>
      </w:r>
      <w:r w:rsidR="00FC3E68" w:rsidRPr="00997A33">
        <w:rPr>
          <w:rFonts w:ascii="Arial" w:hAnsi="Arial" w:cs="Arial"/>
          <w:b/>
          <w:sz w:val="24"/>
          <w:szCs w:val="24"/>
        </w:rPr>
        <w:t>lient – LSBC rules</w:t>
      </w:r>
    </w:p>
    <w:p w:rsidR="00116C9E" w:rsidRDefault="005B29A4" w:rsidP="003E2734">
      <w:pPr>
        <w:jc w:val="both"/>
        <w:rPr>
          <w:rFonts w:ascii="Arial" w:hAnsi="Arial" w:cs="Arial"/>
          <w:sz w:val="24"/>
          <w:szCs w:val="24"/>
        </w:rPr>
      </w:pPr>
      <w:r>
        <w:rPr>
          <w:rFonts w:ascii="Arial" w:hAnsi="Arial" w:cs="Arial"/>
          <w:sz w:val="24"/>
          <w:szCs w:val="24"/>
        </w:rPr>
        <w:t xml:space="preserve">Throughout the life of a file, </w:t>
      </w:r>
      <w:r w:rsidR="00116C9E">
        <w:rPr>
          <w:rFonts w:ascii="Arial" w:hAnsi="Arial" w:cs="Arial"/>
          <w:sz w:val="24"/>
          <w:szCs w:val="24"/>
        </w:rPr>
        <w:t xml:space="preserve">a </w:t>
      </w:r>
      <w:r w:rsidR="009302DA">
        <w:rPr>
          <w:rFonts w:ascii="Arial" w:hAnsi="Arial" w:cs="Arial"/>
          <w:sz w:val="24"/>
          <w:szCs w:val="24"/>
        </w:rPr>
        <w:t>plaintiff</w:t>
      </w:r>
      <w:r w:rsidR="00116C9E">
        <w:rPr>
          <w:rFonts w:ascii="Arial" w:hAnsi="Arial" w:cs="Arial"/>
          <w:sz w:val="24"/>
          <w:szCs w:val="24"/>
        </w:rPr>
        <w:t xml:space="preserve"> may experience financial pressure due to accident-related expenses; i.e. medical expenses relating to treatment and medications, etc. They may ask for a loan from you/the firm. Any money paid to a client via an advance or loan would then come out of the settlement at the conclusion of the file.</w:t>
      </w:r>
    </w:p>
    <w:p w:rsidR="00116C9E" w:rsidRDefault="00116C9E" w:rsidP="003E2734">
      <w:pPr>
        <w:jc w:val="both"/>
        <w:rPr>
          <w:rFonts w:ascii="Arial" w:hAnsi="Arial" w:cs="Arial"/>
          <w:sz w:val="24"/>
          <w:szCs w:val="24"/>
        </w:rPr>
      </w:pPr>
      <w:r>
        <w:rPr>
          <w:rFonts w:ascii="Arial" w:hAnsi="Arial" w:cs="Arial"/>
          <w:sz w:val="24"/>
          <w:szCs w:val="24"/>
        </w:rPr>
        <w:t xml:space="preserve">The </w:t>
      </w:r>
      <w:r w:rsidRPr="009302DA">
        <w:rPr>
          <w:rFonts w:ascii="Arial" w:hAnsi="Arial" w:cs="Arial"/>
          <w:i/>
          <w:sz w:val="24"/>
          <w:szCs w:val="24"/>
        </w:rPr>
        <w:t xml:space="preserve">Code of Professional Conduct </w:t>
      </w:r>
      <w:r>
        <w:rPr>
          <w:rFonts w:ascii="Arial" w:hAnsi="Arial" w:cs="Arial"/>
          <w:sz w:val="24"/>
          <w:szCs w:val="24"/>
        </w:rPr>
        <w:t xml:space="preserve">for British Columbia provides some commentary on advances or loans to client. </w:t>
      </w:r>
    </w:p>
    <w:p w:rsidR="005B29A4" w:rsidRDefault="005B29A4" w:rsidP="003E2734">
      <w:pPr>
        <w:jc w:val="both"/>
        <w:rPr>
          <w:rFonts w:ascii="Arial" w:hAnsi="Arial" w:cs="Arial"/>
          <w:sz w:val="24"/>
          <w:szCs w:val="24"/>
        </w:rPr>
      </w:pPr>
      <w:r>
        <w:rPr>
          <w:rFonts w:ascii="Arial" w:hAnsi="Arial" w:cs="Arial"/>
          <w:b/>
          <w:sz w:val="24"/>
          <w:szCs w:val="24"/>
        </w:rPr>
        <w:t xml:space="preserve">3.4-28 </w:t>
      </w:r>
      <w:r>
        <w:rPr>
          <w:rFonts w:ascii="Arial" w:hAnsi="Arial" w:cs="Arial"/>
          <w:sz w:val="24"/>
          <w:szCs w:val="24"/>
        </w:rPr>
        <w:t>Subject to this rule, a lawyer must not enter into a transaction with a client unless the transaction is fair and reasonable to the client, the client consents to the transaction and the client has independent legal representation with respect to the transaction</w:t>
      </w:r>
      <w:r w:rsidR="00116C9E">
        <w:rPr>
          <w:rFonts w:ascii="Arial" w:hAnsi="Arial" w:cs="Arial"/>
          <w:sz w:val="24"/>
          <w:szCs w:val="24"/>
        </w:rPr>
        <w:t>.</w:t>
      </w:r>
    </w:p>
    <w:p w:rsidR="005B29A4" w:rsidRDefault="005B29A4" w:rsidP="003E2734">
      <w:pPr>
        <w:jc w:val="both"/>
        <w:rPr>
          <w:rFonts w:ascii="Arial" w:hAnsi="Arial" w:cs="Arial"/>
          <w:b/>
          <w:sz w:val="24"/>
          <w:szCs w:val="24"/>
        </w:rPr>
      </w:pPr>
      <w:r>
        <w:rPr>
          <w:rFonts w:ascii="Arial" w:hAnsi="Arial" w:cs="Arial"/>
          <w:b/>
          <w:sz w:val="24"/>
          <w:szCs w:val="24"/>
        </w:rPr>
        <w:t>Commentary</w:t>
      </w:r>
    </w:p>
    <w:p w:rsidR="005B29A4" w:rsidRDefault="005B29A4" w:rsidP="003E2734">
      <w:pPr>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This provision applies to any transaction with a client, including:</w:t>
      </w:r>
    </w:p>
    <w:p w:rsidR="005B29A4" w:rsidRDefault="005B29A4" w:rsidP="00202397">
      <w:pPr>
        <w:pStyle w:val="ListParagraph"/>
        <w:numPr>
          <w:ilvl w:val="0"/>
          <w:numId w:val="10"/>
        </w:numPr>
        <w:jc w:val="both"/>
        <w:rPr>
          <w:rFonts w:ascii="Arial" w:hAnsi="Arial" w:cs="Arial"/>
          <w:sz w:val="24"/>
          <w:szCs w:val="24"/>
        </w:rPr>
      </w:pPr>
      <w:r w:rsidRPr="005B29A4">
        <w:rPr>
          <w:rFonts w:ascii="Arial" w:hAnsi="Arial" w:cs="Arial"/>
          <w:sz w:val="24"/>
          <w:szCs w:val="24"/>
        </w:rPr>
        <w:t>lending or borrowing money;</w:t>
      </w:r>
    </w:p>
    <w:p w:rsidR="005B29A4" w:rsidRDefault="005B29A4" w:rsidP="00202397">
      <w:pPr>
        <w:pStyle w:val="ListParagraph"/>
        <w:numPr>
          <w:ilvl w:val="0"/>
          <w:numId w:val="10"/>
        </w:numPr>
        <w:jc w:val="both"/>
        <w:rPr>
          <w:rFonts w:ascii="Arial" w:hAnsi="Arial" w:cs="Arial"/>
          <w:sz w:val="24"/>
          <w:szCs w:val="24"/>
        </w:rPr>
      </w:pPr>
      <w:r>
        <w:rPr>
          <w:rFonts w:ascii="Arial" w:hAnsi="Arial" w:cs="Arial"/>
          <w:sz w:val="24"/>
          <w:szCs w:val="24"/>
        </w:rPr>
        <w:t>…</w:t>
      </w:r>
    </w:p>
    <w:p w:rsidR="00116C9E" w:rsidRDefault="005B29A4" w:rsidP="003E2734">
      <w:pPr>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The relationship between a lawyer and client is a fiduciary one, and no conflict between the lawyer’s own interest and the lawyer’s</w:t>
      </w:r>
      <w:r w:rsidR="00116C9E">
        <w:rPr>
          <w:rFonts w:ascii="Arial" w:hAnsi="Arial" w:cs="Arial"/>
          <w:sz w:val="24"/>
          <w:szCs w:val="24"/>
        </w:rPr>
        <w:t xml:space="preserve"> duty to the client can be permitted. The remuneration paid to a lawyer by a client for the legal work undertaken by the lawyer for the client does not give rise to a conflicting interest.</w:t>
      </w:r>
    </w:p>
    <w:p w:rsidR="00116C9E" w:rsidRDefault="00116C9E" w:rsidP="003E2734">
      <w:pPr>
        <w:jc w:val="both"/>
        <w:rPr>
          <w:rFonts w:ascii="Arial" w:hAnsi="Arial" w:cs="Arial"/>
          <w:sz w:val="24"/>
          <w:szCs w:val="24"/>
        </w:rPr>
      </w:pPr>
      <w:r>
        <w:rPr>
          <w:rFonts w:ascii="Arial" w:hAnsi="Arial" w:cs="Arial"/>
          <w:sz w:val="24"/>
          <w:szCs w:val="24"/>
        </w:rPr>
        <w:t>In addition to the above, it is prudent to:</w:t>
      </w:r>
    </w:p>
    <w:p w:rsidR="00116C9E" w:rsidRDefault="00116C9E" w:rsidP="00202397">
      <w:pPr>
        <w:pStyle w:val="ListParagraph"/>
        <w:numPr>
          <w:ilvl w:val="0"/>
          <w:numId w:val="9"/>
        </w:numPr>
        <w:jc w:val="both"/>
        <w:rPr>
          <w:rFonts w:ascii="Arial" w:hAnsi="Arial" w:cs="Arial"/>
          <w:sz w:val="24"/>
          <w:szCs w:val="24"/>
        </w:rPr>
      </w:pPr>
      <w:r>
        <w:rPr>
          <w:rFonts w:ascii="Arial" w:hAnsi="Arial" w:cs="Arial"/>
          <w:sz w:val="24"/>
          <w:szCs w:val="24"/>
        </w:rPr>
        <w:t>If an advance is being issued, it must be accompanied by a letter to the client advising the date of the advance and the amount;</w:t>
      </w:r>
    </w:p>
    <w:p w:rsidR="00116C9E" w:rsidRDefault="00116C9E" w:rsidP="00202397">
      <w:pPr>
        <w:pStyle w:val="ListParagraph"/>
        <w:numPr>
          <w:ilvl w:val="0"/>
          <w:numId w:val="9"/>
        </w:numPr>
        <w:jc w:val="both"/>
        <w:rPr>
          <w:rFonts w:ascii="Arial" w:hAnsi="Arial" w:cs="Arial"/>
          <w:sz w:val="24"/>
          <w:szCs w:val="24"/>
        </w:rPr>
      </w:pPr>
      <w:r>
        <w:rPr>
          <w:rFonts w:ascii="Arial" w:hAnsi="Arial" w:cs="Arial"/>
          <w:sz w:val="24"/>
          <w:szCs w:val="24"/>
        </w:rPr>
        <w:t>If there are further advances, each advance must be accompanied by a letter noting all advanced made to date with the total;</w:t>
      </w:r>
    </w:p>
    <w:p w:rsidR="00994F56" w:rsidRDefault="00994F56" w:rsidP="00202397">
      <w:pPr>
        <w:pStyle w:val="ListParagraph"/>
        <w:numPr>
          <w:ilvl w:val="0"/>
          <w:numId w:val="9"/>
        </w:numPr>
        <w:jc w:val="both"/>
        <w:rPr>
          <w:rFonts w:ascii="Arial" w:hAnsi="Arial" w:cs="Arial"/>
          <w:sz w:val="24"/>
          <w:szCs w:val="24"/>
        </w:rPr>
      </w:pPr>
      <w:r>
        <w:rPr>
          <w:rFonts w:ascii="Arial" w:hAnsi="Arial" w:cs="Arial"/>
          <w:sz w:val="24"/>
          <w:szCs w:val="24"/>
        </w:rPr>
        <w:t>Ensure the client obtains or has the opportunity to obtain independent legal advice with respect to the loan and any interest applicable, and any conflict that might arise.</w:t>
      </w:r>
    </w:p>
    <w:p w:rsidR="009302DA" w:rsidRDefault="009302DA" w:rsidP="009302DA">
      <w:pPr>
        <w:pStyle w:val="ListParagraph"/>
        <w:jc w:val="both"/>
        <w:rPr>
          <w:rFonts w:ascii="Arial" w:hAnsi="Arial" w:cs="Arial"/>
          <w:sz w:val="24"/>
          <w:szCs w:val="24"/>
        </w:rPr>
      </w:pPr>
    </w:p>
    <w:p w:rsidR="009302DA" w:rsidRPr="00997A33" w:rsidRDefault="009302DA" w:rsidP="00202397">
      <w:pPr>
        <w:pStyle w:val="ListParagraph"/>
        <w:numPr>
          <w:ilvl w:val="0"/>
          <w:numId w:val="20"/>
        </w:numPr>
        <w:spacing w:before="240" w:after="240"/>
        <w:ind w:hanging="720"/>
        <w:contextualSpacing w:val="0"/>
        <w:jc w:val="both"/>
        <w:rPr>
          <w:rFonts w:ascii="Arial" w:hAnsi="Arial" w:cs="Arial"/>
          <w:b/>
          <w:sz w:val="24"/>
          <w:szCs w:val="24"/>
        </w:rPr>
      </w:pPr>
      <w:r w:rsidRPr="00997A33">
        <w:rPr>
          <w:rFonts w:ascii="Arial" w:hAnsi="Arial" w:cs="Arial"/>
          <w:b/>
          <w:sz w:val="24"/>
          <w:szCs w:val="24"/>
        </w:rPr>
        <w:t>Appeals</w:t>
      </w:r>
    </w:p>
    <w:p w:rsidR="009302DA" w:rsidRDefault="009302DA" w:rsidP="00202397">
      <w:pPr>
        <w:pStyle w:val="ListParagraph"/>
        <w:numPr>
          <w:ilvl w:val="0"/>
          <w:numId w:val="19"/>
        </w:numPr>
        <w:spacing w:before="240" w:after="240"/>
        <w:contextualSpacing w:val="0"/>
        <w:jc w:val="both"/>
        <w:rPr>
          <w:rFonts w:ascii="Arial" w:hAnsi="Arial" w:cs="Arial"/>
          <w:sz w:val="24"/>
          <w:szCs w:val="24"/>
        </w:rPr>
      </w:pPr>
      <w:r w:rsidRPr="009302DA">
        <w:rPr>
          <w:rFonts w:ascii="Arial" w:hAnsi="Arial" w:cs="Arial"/>
          <w:sz w:val="24"/>
          <w:szCs w:val="24"/>
        </w:rPr>
        <w:t>Appeals</w:t>
      </w:r>
      <w:r>
        <w:rPr>
          <w:rFonts w:ascii="Arial" w:hAnsi="Arial" w:cs="Arial"/>
          <w:sz w:val="24"/>
          <w:szCs w:val="24"/>
        </w:rPr>
        <w:t xml:space="preserve"> of interlocutory orders of import, and appeals of judgments, do happen in the world of personal injury. </w:t>
      </w:r>
    </w:p>
    <w:p w:rsidR="009302DA" w:rsidRDefault="009302DA" w:rsidP="00202397">
      <w:pPr>
        <w:pStyle w:val="ListParagraph"/>
        <w:numPr>
          <w:ilvl w:val="0"/>
          <w:numId w:val="19"/>
        </w:numPr>
        <w:spacing w:before="240" w:after="240"/>
        <w:contextualSpacing w:val="0"/>
        <w:jc w:val="both"/>
        <w:rPr>
          <w:rFonts w:ascii="Arial" w:hAnsi="Arial" w:cs="Arial"/>
          <w:sz w:val="24"/>
          <w:szCs w:val="24"/>
        </w:rPr>
      </w:pPr>
      <w:r>
        <w:rPr>
          <w:rFonts w:ascii="Arial" w:hAnsi="Arial" w:cs="Arial"/>
          <w:sz w:val="24"/>
          <w:szCs w:val="24"/>
        </w:rPr>
        <w:t xml:space="preserve">It is important to diarize the appeal period following a trial judgment. </w:t>
      </w:r>
      <w:r w:rsidR="00F472B0">
        <w:rPr>
          <w:rFonts w:ascii="Arial" w:hAnsi="Arial" w:cs="Arial"/>
          <w:sz w:val="24"/>
          <w:szCs w:val="24"/>
        </w:rPr>
        <w:t xml:space="preserve">Parties have 30 days to file a Notice of Appeal. </w:t>
      </w:r>
    </w:p>
    <w:p w:rsidR="009302DA" w:rsidRDefault="005D1FCF" w:rsidP="00202397">
      <w:pPr>
        <w:pStyle w:val="ListParagraph"/>
        <w:numPr>
          <w:ilvl w:val="1"/>
          <w:numId w:val="19"/>
        </w:numPr>
        <w:spacing w:before="240" w:after="240"/>
        <w:contextualSpacing w:val="0"/>
        <w:jc w:val="both"/>
        <w:rPr>
          <w:rFonts w:ascii="Arial" w:hAnsi="Arial" w:cs="Arial"/>
          <w:sz w:val="24"/>
          <w:szCs w:val="24"/>
        </w:rPr>
      </w:pPr>
      <w:r>
        <w:rPr>
          <w:rFonts w:ascii="Arial" w:hAnsi="Arial" w:cs="Arial"/>
          <w:sz w:val="24"/>
          <w:szCs w:val="24"/>
        </w:rPr>
        <w:t xml:space="preserve">Of note, </w:t>
      </w:r>
      <w:r w:rsidR="009302DA">
        <w:rPr>
          <w:rFonts w:ascii="Arial" w:hAnsi="Arial" w:cs="Arial"/>
          <w:sz w:val="24"/>
          <w:szCs w:val="24"/>
        </w:rPr>
        <w:t xml:space="preserve">Madam Justice Marzari’s trial judgment in </w:t>
      </w:r>
      <w:proofErr w:type="spellStart"/>
      <w:r w:rsidR="009302DA">
        <w:rPr>
          <w:rFonts w:ascii="Arial" w:hAnsi="Arial" w:cs="Arial"/>
          <w:i/>
          <w:sz w:val="24"/>
          <w:szCs w:val="24"/>
        </w:rPr>
        <w:t>Uy</w:t>
      </w:r>
      <w:proofErr w:type="spellEnd"/>
      <w:r w:rsidR="009302DA">
        <w:rPr>
          <w:rFonts w:ascii="Arial" w:hAnsi="Arial" w:cs="Arial"/>
          <w:i/>
          <w:sz w:val="24"/>
          <w:szCs w:val="24"/>
        </w:rPr>
        <w:t xml:space="preserve"> v. </w:t>
      </w:r>
      <w:proofErr w:type="spellStart"/>
      <w:r w:rsidR="009302DA">
        <w:rPr>
          <w:rFonts w:ascii="Arial" w:hAnsi="Arial" w:cs="Arial"/>
          <w:i/>
          <w:sz w:val="24"/>
          <w:szCs w:val="24"/>
        </w:rPr>
        <w:t>Dhillon</w:t>
      </w:r>
      <w:proofErr w:type="spellEnd"/>
      <w:r w:rsidR="009302DA">
        <w:rPr>
          <w:rFonts w:ascii="Arial" w:hAnsi="Arial" w:cs="Arial"/>
          <w:i/>
          <w:sz w:val="24"/>
          <w:szCs w:val="24"/>
        </w:rPr>
        <w:t xml:space="preserve">, </w:t>
      </w:r>
      <w:r w:rsidR="009302DA">
        <w:rPr>
          <w:rFonts w:ascii="Arial" w:hAnsi="Arial" w:cs="Arial"/>
          <w:sz w:val="24"/>
          <w:szCs w:val="24"/>
        </w:rPr>
        <w:t xml:space="preserve">2019 BCSC 1136 is under appeal.  The hearing of the appeal is set for May 19, 2020, but may not proceed on that date because of the COVID-19 pandemic.  </w:t>
      </w:r>
    </w:p>
    <w:p w:rsidR="00F472B0" w:rsidRPr="009302DA" w:rsidRDefault="0070463B" w:rsidP="00202397">
      <w:pPr>
        <w:pStyle w:val="ListParagraph"/>
        <w:numPr>
          <w:ilvl w:val="1"/>
          <w:numId w:val="19"/>
        </w:numPr>
        <w:spacing w:before="240" w:after="240"/>
        <w:ind w:left="720"/>
        <w:contextualSpacing w:val="0"/>
        <w:jc w:val="both"/>
        <w:rPr>
          <w:rFonts w:ascii="Arial" w:hAnsi="Arial" w:cs="Arial"/>
          <w:sz w:val="24"/>
          <w:szCs w:val="24"/>
        </w:rPr>
      </w:pPr>
      <w:r>
        <w:rPr>
          <w:rFonts w:ascii="Arial" w:hAnsi="Arial" w:cs="Arial"/>
          <w:sz w:val="24"/>
          <w:szCs w:val="24"/>
        </w:rPr>
        <w:t xml:space="preserve">Appellate practice is complex and it is best practice to retain </w:t>
      </w:r>
      <w:r w:rsidR="000405DA">
        <w:rPr>
          <w:rFonts w:ascii="Arial" w:hAnsi="Arial" w:cs="Arial"/>
          <w:sz w:val="24"/>
          <w:szCs w:val="24"/>
        </w:rPr>
        <w:t xml:space="preserve">outside </w:t>
      </w:r>
      <w:r>
        <w:rPr>
          <w:rFonts w:ascii="Arial" w:hAnsi="Arial" w:cs="Arial"/>
          <w:sz w:val="24"/>
          <w:szCs w:val="24"/>
        </w:rPr>
        <w:t xml:space="preserve">counsel who are experienced and reasonably known for their advocacy work in the Court of Appeal. </w:t>
      </w:r>
      <w:r w:rsidR="000405DA">
        <w:rPr>
          <w:rFonts w:ascii="Arial" w:hAnsi="Arial" w:cs="Arial"/>
          <w:sz w:val="24"/>
          <w:szCs w:val="24"/>
        </w:rPr>
        <w:t xml:space="preserve"> Trial lawyers </w:t>
      </w:r>
      <w:r w:rsidR="006C06C2">
        <w:rPr>
          <w:rFonts w:ascii="Arial" w:hAnsi="Arial" w:cs="Arial"/>
          <w:sz w:val="24"/>
          <w:szCs w:val="24"/>
        </w:rPr>
        <w:t>may not always be great</w:t>
      </w:r>
      <w:r w:rsidR="005D1FCF">
        <w:rPr>
          <w:rFonts w:ascii="Arial" w:hAnsi="Arial" w:cs="Arial"/>
          <w:sz w:val="24"/>
          <w:szCs w:val="24"/>
        </w:rPr>
        <w:t xml:space="preserve"> appellate lawyers!</w:t>
      </w:r>
    </w:p>
    <w:p w:rsidR="005B29A4" w:rsidRPr="005B29A4" w:rsidRDefault="005B29A4" w:rsidP="003E2734">
      <w:pPr>
        <w:jc w:val="both"/>
        <w:rPr>
          <w:rFonts w:ascii="Arial" w:hAnsi="Arial" w:cs="Arial"/>
          <w:sz w:val="24"/>
          <w:szCs w:val="24"/>
        </w:rPr>
      </w:pPr>
    </w:p>
    <w:sectPr w:rsidR="005B29A4" w:rsidRPr="005B29A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F4" w:rsidRDefault="000864F4" w:rsidP="004A5B02">
      <w:pPr>
        <w:spacing w:after="0" w:line="240" w:lineRule="auto"/>
      </w:pPr>
      <w:r>
        <w:separator/>
      </w:r>
    </w:p>
  </w:endnote>
  <w:endnote w:type="continuationSeparator" w:id="0">
    <w:p w:rsidR="000864F4" w:rsidRDefault="000864F4" w:rsidP="004A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Karl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76399"/>
      <w:docPartObj>
        <w:docPartGallery w:val="Page Numbers (Bottom of Page)"/>
        <w:docPartUnique/>
      </w:docPartObj>
    </w:sdtPr>
    <w:sdtEndPr>
      <w:rPr>
        <w:noProof/>
      </w:rPr>
    </w:sdtEndPr>
    <w:sdtContent>
      <w:p w:rsidR="004A5B02" w:rsidRDefault="004A5B02">
        <w:pPr>
          <w:pStyle w:val="Footer"/>
          <w:jc w:val="right"/>
        </w:pPr>
        <w:r>
          <w:fldChar w:fldCharType="begin"/>
        </w:r>
        <w:r>
          <w:instrText xml:space="preserve"> PAGE   \* MERGEFORMAT </w:instrText>
        </w:r>
        <w:r>
          <w:fldChar w:fldCharType="separate"/>
        </w:r>
        <w:r w:rsidR="004B4127">
          <w:rPr>
            <w:noProof/>
          </w:rPr>
          <w:t>1</w:t>
        </w:r>
        <w:r>
          <w:rPr>
            <w:noProof/>
          </w:rPr>
          <w:fldChar w:fldCharType="end"/>
        </w:r>
      </w:p>
    </w:sdtContent>
  </w:sdt>
  <w:p w:rsidR="004A5B02" w:rsidRDefault="004A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F4" w:rsidRDefault="000864F4" w:rsidP="004A5B02">
      <w:pPr>
        <w:spacing w:after="0" w:line="240" w:lineRule="auto"/>
      </w:pPr>
      <w:r>
        <w:separator/>
      </w:r>
    </w:p>
  </w:footnote>
  <w:footnote w:type="continuationSeparator" w:id="0">
    <w:p w:rsidR="000864F4" w:rsidRDefault="000864F4" w:rsidP="004A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105"/>
    <w:multiLevelType w:val="hybridMultilevel"/>
    <w:tmpl w:val="883E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757"/>
    <w:multiLevelType w:val="hybridMultilevel"/>
    <w:tmpl w:val="48B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E3A"/>
    <w:multiLevelType w:val="hybridMultilevel"/>
    <w:tmpl w:val="3404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76A"/>
    <w:multiLevelType w:val="hybridMultilevel"/>
    <w:tmpl w:val="2B5E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DE3"/>
    <w:multiLevelType w:val="hybridMultilevel"/>
    <w:tmpl w:val="C2247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2E74"/>
    <w:multiLevelType w:val="hybridMultilevel"/>
    <w:tmpl w:val="B0206548"/>
    <w:lvl w:ilvl="0" w:tplc="CE681D9A">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B757A"/>
    <w:multiLevelType w:val="hybridMultilevel"/>
    <w:tmpl w:val="4690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A3DBD"/>
    <w:multiLevelType w:val="hybridMultilevel"/>
    <w:tmpl w:val="922C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31D37"/>
    <w:multiLevelType w:val="hybridMultilevel"/>
    <w:tmpl w:val="038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B5663"/>
    <w:multiLevelType w:val="hybridMultilevel"/>
    <w:tmpl w:val="4A48F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8B1C9B"/>
    <w:multiLevelType w:val="hybridMultilevel"/>
    <w:tmpl w:val="573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851FB"/>
    <w:multiLevelType w:val="hybridMultilevel"/>
    <w:tmpl w:val="A72C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D327D"/>
    <w:multiLevelType w:val="hybridMultilevel"/>
    <w:tmpl w:val="1400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6655E"/>
    <w:multiLevelType w:val="hybridMultilevel"/>
    <w:tmpl w:val="0526FE3E"/>
    <w:lvl w:ilvl="0" w:tplc="1C9AB976">
      <w:start w:val="1"/>
      <w:numFmt w:val="lowerLetter"/>
      <w:lvlText w:val="%1)"/>
      <w:lvlJc w:val="left"/>
      <w:pPr>
        <w:ind w:left="720" w:hanging="360"/>
      </w:pPr>
      <w:rPr>
        <w:rFonts w:hint="default"/>
        <w:b/>
      </w:rPr>
    </w:lvl>
    <w:lvl w:ilvl="1" w:tplc="51E4EC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E07EE"/>
    <w:multiLevelType w:val="hybridMultilevel"/>
    <w:tmpl w:val="BEF8D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FB75D0"/>
    <w:multiLevelType w:val="multilevel"/>
    <w:tmpl w:val="FFAE5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ADC7403"/>
    <w:multiLevelType w:val="hybridMultilevel"/>
    <w:tmpl w:val="E46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038D6"/>
    <w:multiLevelType w:val="hybridMultilevel"/>
    <w:tmpl w:val="89589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C2F09"/>
    <w:multiLevelType w:val="hybridMultilevel"/>
    <w:tmpl w:val="70A87A8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9" w15:restartNumberingAfterBreak="0">
    <w:nsid w:val="695B1DE2"/>
    <w:multiLevelType w:val="hybridMultilevel"/>
    <w:tmpl w:val="A5B0F3BE"/>
    <w:lvl w:ilvl="0" w:tplc="8510583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52100"/>
    <w:multiLevelType w:val="hybridMultilevel"/>
    <w:tmpl w:val="7856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B22AF"/>
    <w:multiLevelType w:val="hybridMultilevel"/>
    <w:tmpl w:val="BE44C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13"/>
  </w:num>
  <w:num w:numId="4">
    <w:abstractNumId w:val="14"/>
  </w:num>
  <w:num w:numId="5">
    <w:abstractNumId w:val="1"/>
  </w:num>
  <w:num w:numId="6">
    <w:abstractNumId w:val="6"/>
  </w:num>
  <w:num w:numId="7">
    <w:abstractNumId w:val="18"/>
  </w:num>
  <w:num w:numId="8">
    <w:abstractNumId w:val="11"/>
  </w:num>
  <w:num w:numId="9">
    <w:abstractNumId w:val="3"/>
  </w:num>
  <w:num w:numId="10">
    <w:abstractNumId w:val="5"/>
  </w:num>
  <w:num w:numId="11">
    <w:abstractNumId w:val="8"/>
  </w:num>
  <w:num w:numId="12">
    <w:abstractNumId w:val="15"/>
  </w:num>
  <w:num w:numId="13">
    <w:abstractNumId w:val="2"/>
  </w:num>
  <w:num w:numId="14">
    <w:abstractNumId w:val="4"/>
  </w:num>
  <w:num w:numId="15">
    <w:abstractNumId w:val="7"/>
  </w:num>
  <w:num w:numId="16">
    <w:abstractNumId w:val="21"/>
  </w:num>
  <w:num w:numId="17">
    <w:abstractNumId w:val="12"/>
  </w:num>
  <w:num w:numId="18">
    <w:abstractNumId w:val="16"/>
  </w:num>
  <w:num w:numId="19">
    <w:abstractNumId w:val="17"/>
  </w:num>
  <w:num w:numId="20">
    <w:abstractNumId w:val="19"/>
  </w:num>
  <w:num w:numId="21">
    <w:abstractNumId w:val="0"/>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B5"/>
    <w:rsid w:val="00026E43"/>
    <w:rsid w:val="000405DA"/>
    <w:rsid w:val="000864F4"/>
    <w:rsid w:val="000E22D3"/>
    <w:rsid w:val="00116C9E"/>
    <w:rsid w:val="00117B53"/>
    <w:rsid w:val="00143414"/>
    <w:rsid w:val="00156C91"/>
    <w:rsid w:val="001A4969"/>
    <w:rsid w:val="00202397"/>
    <w:rsid w:val="00215D5B"/>
    <w:rsid w:val="0021701D"/>
    <w:rsid w:val="00223DE3"/>
    <w:rsid w:val="0024625E"/>
    <w:rsid w:val="00246A33"/>
    <w:rsid w:val="00261774"/>
    <w:rsid w:val="00266E34"/>
    <w:rsid w:val="00276848"/>
    <w:rsid w:val="00294FD0"/>
    <w:rsid w:val="002F5E41"/>
    <w:rsid w:val="00301E65"/>
    <w:rsid w:val="003C63E6"/>
    <w:rsid w:val="003E1DC1"/>
    <w:rsid w:val="003E2734"/>
    <w:rsid w:val="003E5D49"/>
    <w:rsid w:val="003F4BC5"/>
    <w:rsid w:val="0040546C"/>
    <w:rsid w:val="00461762"/>
    <w:rsid w:val="00485E96"/>
    <w:rsid w:val="004878F1"/>
    <w:rsid w:val="004A00F5"/>
    <w:rsid w:val="004A5B02"/>
    <w:rsid w:val="004B4127"/>
    <w:rsid w:val="004E04A9"/>
    <w:rsid w:val="004E1BDE"/>
    <w:rsid w:val="00507D82"/>
    <w:rsid w:val="00527133"/>
    <w:rsid w:val="00536F24"/>
    <w:rsid w:val="00554560"/>
    <w:rsid w:val="005929F3"/>
    <w:rsid w:val="0059545B"/>
    <w:rsid w:val="00596F87"/>
    <w:rsid w:val="005B29A4"/>
    <w:rsid w:val="005C36D2"/>
    <w:rsid w:val="005D1FCF"/>
    <w:rsid w:val="005D5B44"/>
    <w:rsid w:val="005E7801"/>
    <w:rsid w:val="005F7BD1"/>
    <w:rsid w:val="0066146C"/>
    <w:rsid w:val="00676A12"/>
    <w:rsid w:val="006B4189"/>
    <w:rsid w:val="006C06C2"/>
    <w:rsid w:val="006E5624"/>
    <w:rsid w:val="006E6E34"/>
    <w:rsid w:val="006F4A29"/>
    <w:rsid w:val="00703A31"/>
    <w:rsid w:val="0070463B"/>
    <w:rsid w:val="0071388B"/>
    <w:rsid w:val="00745696"/>
    <w:rsid w:val="00762733"/>
    <w:rsid w:val="00772B74"/>
    <w:rsid w:val="007B0469"/>
    <w:rsid w:val="007B711D"/>
    <w:rsid w:val="008023B3"/>
    <w:rsid w:val="00802588"/>
    <w:rsid w:val="00834D5C"/>
    <w:rsid w:val="00850CCE"/>
    <w:rsid w:val="00874DFD"/>
    <w:rsid w:val="00876EFD"/>
    <w:rsid w:val="008B7AA2"/>
    <w:rsid w:val="009302DA"/>
    <w:rsid w:val="00937492"/>
    <w:rsid w:val="0097447D"/>
    <w:rsid w:val="00983D81"/>
    <w:rsid w:val="00994F56"/>
    <w:rsid w:val="00997A33"/>
    <w:rsid w:val="00A11123"/>
    <w:rsid w:val="00A124BE"/>
    <w:rsid w:val="00A231E7"/>
    <w:rsid w:val="00A23239"/>
    <w:rsid w:val="00A41CF0"/>
    <w:rsid w:val="00A5186E"/>
    <w:rsid w:val="00AB02BA"/>
    <w:rsid w:val="00AB2685"/>
    <w:rsid w:val="00AD0F65"/>
    <w:rsid w:val="00AD4E95"/>
    <w:rsid w:val="00AE1240"/>
    <w:rsid w:val="00B34CF4"/>
    <w:rsid w:val="00B51FC3"/>
    <w:rsid w:val="00B57AC2"/>
    <w:rsid w:val="00BD695F"/>
    <w:rsid w:val="00BE3693"/>
    <w:rsid w:val="00BF5AF3"/>
    <w:rsid w:val="00C2477F"/>
    <w:rsid w:val="00C24819"/>
    <w:rsid w:val="00C403D1"/>
    <w:rsid w:val="00C678B5"/>
    <w:rsid w:val="00C848B8"/>
    <w:rsid w:val="00C935BB"/>
    <w:rsid w:val="00CA62C9"/>
    <w:rsid w:val="00CA76FA"/>
    <w:rsid w:val="00CD389E"/>
    <w:rsid w:val="00CD4FB1"/>
    <w:rsid w:val="00CF2051"/>
    <w:rsid w:val="00CF5B4E"/>
    <w:rsid w:val="00D002D0"/>
    <w:rsid w:val="00D031D8"/>
    <w:rsid w:val="00D34663"/>
    <w:rsid w:val="00D96036"/>
    <w:rsid w:val="00D97A48"/>
    <w:rsid w:val="00E052B3"/>
    <w:rsid w:val="00E23F4D"/>
    <w:rsid w:val="00E8764A"/>
    <w:rsid w:val="00F170DB"/>
    <w:rsid w:val="00F472B0"/>
    <w:rsid w:val="00F56EFB"/>
    <w:rsid w:val="00F67219"/>
    <w:rsid w:val="00F82D7E"/>
    <w:rsid w:val="00F855AB"/>
    <w:rsid w:val="00F948E6"/>
    <w:rsid w:val="00F97F04"/>
    <w:rsid w:val="00FC2391"/>
    <w:rsid w:val="00FC3E68"/>
    <w:rsid w:val="00FD526D"/>
    <w:rsid w:val="00FE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5FF5"/>
  <w15:chartTrackingRefBased/>
  <w15:docId w15:val="{9CF21EBB-12B8-4838-99BE-F5C63571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7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374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F3"/>
    <w:pPr>
      <w:ind w:left="720"/>
      <w:contextualSpacing/>
    </w:pPr>
  </w:style>
  <w:style w:type="paragraph" w:styleId="NormalWeb">
    <w:name w:val="Normal (Web)"/>
    <w:basedOn w:val="Normal"/>
    <w:uiPriority w:val="99"/>
    <w:semiHidden/>
    <w:unhideWhenUsed/>
    <w:rsid w:val="003F4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7A48"/>
    <w:rPr>
      <w:color w:val="0563C1" w:themeColor="hyperlink"/>
      <w:u w:val="single"/>
    </w:rPr>
  </w:style>
  <w:style w:type="character" w:styleId="FollowedHyperlink">
    <w:name w:val="FollowedHyperlink"/>
    <w:basedOn w:val="DefaultParagraphFont"/>
    <w:uiPriority w:val="99"/>
    <w:semiHidden/>
    <w:unhideWhenUsed/>
    <w:rsid w:val="00B34CF4"/>
    <w:rPr>
      <w:color w:val="954F72" w:themeColor="followedHyperlink"/>
      <w:u w:val="single"/>
    </w:rPr>
  </w:style>
  <w:style w:type="paragraph" w:styleId="Title">
    <w:name w:val="Title"/>
    <w:basedOn w:val="Normal"/>
    <w:link w:val="TitleChar"/>
    <w:uiPriority w:val="99"/>
    <w:qFormat/>
    <w:rsid w:val="000E22D3"/>
    <w:pPr>
      <w:spacing w:after="0" w:line="240" w:lineRule="auto"/>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0E22D3"/>
    <w:rPr>
      <w:rFonts w:ascii="Arial" w:eastAsia="Times New Roman" w:hAnsi="Arial" w:cs="Arial"/>
      <w:b/>
      <w:sz w:val="36"/>
      <w:szCs w:val="20"/>
    </w:rPr>
  </w:style>
  <w:style w:type="table" w:styleId="TableGrid">
    <w:name w:val="Table Grid"/>
    <w:basedOn w:val="TableNormal"/>
    <w:uiPriority w:val="59"/>
    <w:rsid w:val="000E22D3"/>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4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37492"/>
    <w:rPr>
      <w:rFonts w:ascii="Times New Roman" w:eastAsia="Times New Roman" w:hAnsi="Times New Roman" w:cs="Times New Roman"/>
      <w:b/>
      <w:bCs/>
      <w:sz w:val="24"/>
      <w:szCs w:val="24"/>
    </w:rPr>
  </w:style>
  <w:style w:type="character" w:styleId="Emphasis">
    <w:name w:val="Emphasis"/>
    <w:uiPriority w:val="20"/>
    <w:qFormat/>
    <w:rsid w:val="00937492"/>
    <w:rPr>
      <w:i/>
      <w:iCs/>
    </w:rPr>
  </w:style>
  <w:style w:type="character" w:styleId="Strong">
    <w:name w:val="Strong"/>
    <w:uiPriority w:val="22"/>
    <w:qFormat/>
    <w:rsid w:val="00937492"/>
    <w:rPr>
      <w:b/>
      <w:bCs/>
    </w:rPr>
  </w:style>
  <w:style w:type="character" w:customStyle="1" w:styleId="holder">
    <w:name w:val="holder"/>
    <w:rsid w:val="00937492"/>
  </w:style>
  <w:style w:type="paragraph" w:customStyle="1" w:styleId="para">
    <w:name w:val="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rsid w:val="00937492"/>
  </w:style>
  <w:style w:type="paragraph" w:customStyle="1" w:styleId="def">
    <w:name w:val="def"/>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2">
    <w:name w:val="sec2"/>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3749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A5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02"/>
  </w:style>
  <w:style w:type="paragraph" w:styleId="Footer">
    <w:name w:val="footer"/>
    <w:basedOn w:val="Normal"/>
    <w:link w:val="FooterChar"/>
    <w:uiPriority w:val="99"/>
    <w:unhideWhenUsed/>
    <w:rsid w:val="004A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02"/>
  </w:style>
  <w:style w:type="character" w:customStyle="1" w:styleId="Heading1Char">
    <w:name w:val="Heading 1 Char"/>
    <w:basedOn w:val="DefaultParagraphFont"/>
    <w:link w:val="Heading1"/>
    <w:uiPriority w:val="9"/>
    <w:rsid w:val="006B4189"/>
    <w:rPr>
      <w:rFonts w:asciiTheme="majorHAnsi" w:eastAsiaTheme="majorEastAsia" w:hAnsiTheme="majorHAnsi" w:cstheme="majorBidi"/>
      <w:color w:val="2E74B5" w:themeColor="accent1" w:themeShade="BF"/>
      <w:sz w:val="32"/>
      <w:szCs w:val="32"/>
    </w:rPr>
  </w:style>
  <w:style w:type="character" w:customStyle="1" w:styleId="st">
    <w:name w:val="st"/>
    <w:basedOn w:val="DefaultParagraphFont"/>
    <w:rsid w:val="0021701D"/>
  </w:style>
  <w:style w:type="paragraph" w:customStyle="1" w:styleId="scjnumber">
    <w:name w:val="scjnumber"/>
    <w:basedOn w:val="Normal"/>
    <w:rsid w:val="00527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jquote">
    <w:name w:val="scjquote"/>
    <w:basedOn w:val="Normal"/>
    <w:rsid w:val="0030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
    <w:name w:val="rul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enoholder">
    <w:name w:val="rulenoholder"/>
    <w:basedOn w:val="DefaultParagraphFont"/>
    <w:rsid w:val="00E052B3"/>
  </w:style>
  <w:style w:type="character" w:customStyle="1" w:styleId="normal-bold-style">
    <w:name w:val="normal-bold-style"/>
    <w:basedOn w:val="DefaultParagraphFont"/>
    <w:rsid w:val="00E052B3"/>
  </w:style>
  <w:style w:type="character" w:customStyle="1" w:styleId="double-quotes">
    <w:name w:val="double-quotes"/>
    <w:basedOn w:val="DefaultParagraphFont"/>
    <w:rsid w:val="00E052B3"/>
  </w:style>
  <w:style w:type="paragraph" w:customStyle="1" w:styleId="hnote">
    <w:name w:val="hnot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8430">
      <w:bodyDiv w:val="1"/>
      <w:marLeft w:val="0"/>
      <w:marRight w:val="0"/>
      <w:marTop w:val="0"/>
      <w:marBottom w:val="0"/>
      <w:divBdr>
        <w:top w:val="none" w:sz="0" w:space="0" w:color="auto"/>
        <w:left w:val="none" w:sz="0" w:space="0" w:color="auto"/>
        <w:bottom w:val="none" w:sz="0" w:space="0" w:color="auto"/>
        <w:right w:val="none" w:sz="0" w:space="0" w:color="auto"/>
      </w:divBdr>
      <w:divsChild>
        <w:div w:id="242226819">
          <w:marLeft w:val="0"/>
          <w:marRight w:val="0"/>
          <w:marTop w:val="0"/>
          <w:marBottom w:val="405"/>
          <w:divBdr>
            <w:top w:val="none" w:sz="0" w:space="0" w:color="auto"/>
            <w:left w:val="none" w:sz="0" w:space="0" w:color="auto"/>
            <w:bottom w:val="none" w:sz="0" w:space="0" w:color="auto"/>
            <w:right w:val="none" w:sz="0" w:space="0" w:color="auto"/>
          </w:divBdr>
          <w:divsChild>
            <w:div w:id="1373580011">
              <w:marLeft w:val="0"/>
              <w:marRight w:val="0"/>
              <w:marTop w:val="0"/>
              <w:marBottom w:val="0"/>
              <w:divBdr>
                <w:top w:val="none" w:sz="0" w:space="0" w:color="auto"/>
                <w:left w:val="none" w:sz="0" w:space="0" w:color="auto"/>
                <w:bottom w:val="none" w:sz="0" w:space="0" w:color="auto"/>
                <w:right w:val="none" w:sz="0" w:space="0" w:color="auto"/>
              </w:divBdr>
              <w:divsChild>
                <w:div w:id="2063669238">
                  <w:marLeft w:val="0"/>
                  <w:marRight w:val="0"/>
                  <w:marTop w:val="0"/>
                  <w:marBottom w:val="0"/>
                  <w:divBdr>
                    <w:top w:val="none" w:sz="0" w:space="0" w:color="auto"/>
                    <w:left w:val="none" w:sz="0" w:space="0" w:color="auto"/>
                    <w:bottom w:val="none" w:sz="0" w:space="0" w:color="auto"/>
                    <w:right w:val="none" w:sz="0" w:space="0" w:color="auto"/>
                  </w:divBdr>
                  <w:divsChild>
                    <w:div w:id="540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130">
      <w:bodyDiv w:val="1"/>
      <w:marLeft w:val="0"/>
      <w:marRight w:val="0"/>
      <w:marTop w:val="0"/>
      <w:marBottom w:val="0"/>
      <w:divBdr>
        <w:top w:val="none" w:sz="0" w:space="0" w:color="auto"/>
        <w:left w:val="none" w:sz="0" w:space="0" w:color="auto"/>
        <w:bottom w:val="none" w:sz="0" w:space="0" w:color="auto"/>
        <w:right w:val="none" w:sz="0" w:space="0" w:color="auto"/>
      </w:divBdr>
    </w:div>
    <w:div w:id="289555462">
      <w:bodyDiv w:val="1"/>
      <w:marLeft w:val="0"/>
      <w:marRight w:val="0"/>
      <w:marTop w:val="0"/>
      <w:marBottom w:val="0"/>
      <w:divBdr>
        <w:top w:val="none" w:sz="0" w:space="0" w:color="auto"/>
        <w:left w:val="none" w:sz="0" w:space="0" w:color="auto"/>
        <w:bottom w:val="none" w:sz="0" w:space="0" w:color="auto"/>
        <w:right w:val="none" w:sz="0" w:space="0" w:color="auto"/>
      </w:divBdr>
    </w:div>
    <w:div w:id="342513332">
      <w:bodyDiv w:val="1"/>
      <w:marLeft w:val="0"/>
      <w:marRight w:val="0"/>
      <w:marTop w:val="0"/>
      <w:marBottom w:val="0"/>
      <w:divBdr>
        <w:top w:val="none" w:sz="0" w:space="0" w:color="auto"/>
        <w:left w:val="none" w:sz="0" w:space="0" w:color="auto"/>
        <w:bottom w:val="none" w:sz="0" w:space="0" w:color="auto"/>
        <w:right w:val="none" w:sz="0" w:space="0" w:color="auto"/>
      </w:divBdr>
      <w:divsChild>
        <w:div w:id="1833251483">
          <w:marLeft w:val="0"/>
          <w:marRight w:val="0"/>
          <w:marTop w:val="0"/>
          <w:marBottom w:val="0"/>
          <w:divBdr>
            <w:top w:val="single" w:sz="2" w:space="0" w:color="F8F9FA"/>
            <w:left w:val="none" w:sz="0" w:space="0" w:color="auto"/>
            <w:bottom w:val="single" w:sz="2" w:space="0" w:color="F8F9FA"/>
            <w:right w:val="none" w:sz="0" w:space="0" w:color="auto"/>
          </w:divBdr>
          <w:divsChild>
            <w:div w:id="858739887">
              <w:marLeft w:val="0"/>
              <w:marRight w:val="0"/>
              <w:marTop w:val="0"/>
              <w:marBottom w:val="0"/>
              <w:divBdr>
                <w:top w:val="none" w:sz="0" w:space="0" w:color="auto"/>
                <w:left w:val="none" w:sz="0" w:space="0" w:color="auto"/>
                <w:bottom w:val="none" w:sz="0" w:space="0" w:color="auto"/>
                <w:right w:val="none" w:sz="0" w:space="0" w:color="auto"/>
              </w:divBdr>
            </w:div>
          </w:divsChild>
        </w:div>
        <w:div w:id="1539321680">
          <w:marLeft w:val="0"/>
          <w:marRight w:val="0"/>
          <w:marTop w:val="0"/>
          <w:marBottom w:val="0"/>
          <w:divBdr>
            <w:top w:val="none" w:sz="0" w:space="0" w:color="auto"/>
            <w:left w:val="none" w:sz="0" w:space="0" w:color="auto"/>
            <w:bottom w:val="none" w:sz="0" w:space="0" w:color="auto"/>
            <w:right w:val="none" w:sz="0" w:space="0" w:color="auto"/>
          </w:divBdr>
          <w:divsChild>
            <w:div w:id="362677361">
              <w:marLeft w:val="-300"/>
              <w:marRight w:val="-300"/>
              <w:marTop w:val="0"/>
              <w:marBottom w:val="0"/>
              <w:divBdr>
                <w:top w:val="none" w:sz="0" w:space="0" w:color="auto"/>
                <w:left w:val="none" w:sz="0" w:space="0" w:color="auto"/>
                <w:bottom w:val="none" w:sz="0" w:space="0" w:color="auto"/>
                <w:right w:val="none" w:sz="0" w:space="0" w:color="auto"/>
              </w:divBdr>
              <w:divsChild>
                <w:div w:id="351221821">
                  <w:marLeft w:val="0"/>
                  <w:marRight w:val="0"/>
                  <w:marTop w:val="0"/>
                  <w:marBottom w:val="0"/>
                  <w:divBdr>
                    <w:top w:val="none" w:sz="0" w:space="0" w:color="auto"/>
                    <w:left w:val="none" w:sz="0" w:space="0" w:color="auto"/>
                    <w:bottom w:val="none" w:sz="0" w:space="0" w:color="auto"/>
                    <w:right w:val="none" w:sz="0" w:space="0" w:color="auto"/>
                  </w:divBdr>
                  <w:divsChild>
                    <w:div w:id="1971399523">
                      <w:marLeft w:val="0"/>
                      <w:marRight w:val="0"/>
                      <w:marTop w:val="0"/>
                      <w:marBottom w:val="0"/>
                      <w:divBdr>
                        <w:top w:val="none" w:sz="0" w:space="0" w:color="auto"/>
                        <w:left w:val="none" w:sz="0" w:space="0" w:color="auto"/>
                        <w:bottom w:val="none" w:sz="0" w:space="0" w:color="auto"/>
                        <w:right w:val="none" w:sz="0" w:space="0" w:color="auto"/>
                      </w:divBdr>
                      <w:divsChild>
                        <w:div w:id="3828593">
                          <w:marLeft w:val="0"/>
                          <w:marRight w:val="0"/>
                          <w:marTop w:val="0"/>
                          <w:marBottom w:val="0"/>
                          <w:divBdr>
                            <w:top w:val="none" w:sz="0" w:space="0" w:color="auto"/>
                            <w:left w:val="none" w:sz="0" w:space="0" w:color="auto"/>
                            <w:bottom w:val="none" w:sz="0" w:space="0" w:color="auto"/>
                            <w:right w:val="none" w:sz="0" w:space="0" w:color="auto"/>
                          </w:divBdr>
                          <w:divsChild>
                            <w:div w:id="1051882784">
                              <w:marLeft w:val="0"/>
                              <w:marRight w:val="0"/>
                              <w:marTop w:val="0"/>
                              <w:marBottom w:val="0"/>
                              <w:divBdr>
                                <w:top w:val="none" w:sz="0" w:space="0" w:color="auto"/>
                                <w:left w:val="none" w:sz="0" w:space="0" w:color="auto"/>
                                <w:bottom w:val="none" w:sz="0" w:space="0" w:color="auto"/>
                                <w:right w:val="none" w:sz="0" w:space="0" w:color="auto"/>
                              </w:divBdr>
                              <w:divsChild>
                                <w:div w:id="1414401203">
                                  <w:marLeft w:val="0"/>
                                  <w:marRight w:val="0"/>
                                  <w:marTop w:val="0"/>
                                  <w:marBottom w:val="0"/>
                                  <w:divBdr>
                                    <w:top w:val="none" w:sz="0" w:space="0" w:color="auto"/>
                                    <w:left w:val="none" w:sz="0" w:space="0" w:color="auto"/>
                                    <w:bottom w:val="none" w:sz="0" w:space="0" w:color="auto"/>
                                    <w:right w:val="none" w:sz="0" w:space="0" w:color="auto"/>
                                  </w:divBdr>
                                  <w:divsChild>
                                    <w:div w:id="1983192558">
                                      <w:marLeft w:val="0"/>
                                      <w:marRight w:val="0"/>
                                      <w:marTop w:val="0"/>
                                      <w:marBottom w:val="0"/>
                                      <w:divBdr>
                                        <w:top w:val="none" w:sz="0" w:space="0" w:color="auto"/>
                                        <w:left w:val="none" w:sz="0" w:space="0" w:color="auto"/>
                                        <w:bottom w:val="none" w:sz="0" w:space="0" w:color="auto"/>
                                        <w:right w:val="none" w:sz="0" w:space="0" w:color="auto"/>
                                      </w:divBdr>
                                      <w:divsChild>
                                        <w:div w:id="1187478356">
                                          <w:marLeft w:val="0"/>
                                          <w:marRight w:val="0"/>
                                          <w:marTop w:val="0"/>
                                          <w:marBottom w:val="0"/>
                                          <w:divBdr>
                                            <w:top w:val="none" w:sz="0" w:space="0" w:color="auto"/>
                                            <w:left w:val="none" w:sz="0" w:space="0" w:color="auto"/>
                                            <w:bottom w:val="none" w:sz="0" w:space="0" w:color="auto"/>
                                            <w:right w:val="none" w:sz="0" w:space="0" w:color="auto"/>
                                          </w:divBdr>
                                          <w:divsChild>
                                            <w:div w:id="170528988">
                                              <w:marLeft w:val="0"/>
                                              <w:marRight w:val="0"/>
                                              <w:marTop w:val="0"/>
                                              <w:marBottom w:val="0"/>
                                              <w:divBdr>
                                                <w:top w:val="none" w:sz="0" w:space="0" w:color="auto"/>
                                                <w:left w:val="none" w:sz="0" w:space="0" w:color="auto"/>
                                                <w:bottom w:val="none" w:sz="0" w:space="0" w:color="auto"/>
                                                <w:right w:val="none" w:sz="0" w:space="0" w:color="auto"/>
                                              </w:divBdr>
                                              <w:divsChild>
                                                <w:div w:id="239142656">
                                                  <w:marLeft w:val="0"/>
                                                  <w:marRight w:val="0"/>
                                                  <w:marTop w:val="0"/>
                                                  <w:marBottom w:val="0"/>
                                                  <w:divBdr>
                                                    <w:top w:val="none" w:sz="0" w:space="0" w:color="auto"/>
                                                    <w:left w:val="none" w:sz="0" w:space="0" w:color="auto"/>
                                                    <w:bottom w:val="none" w:sz="0" w:space="0" w:color="auto"/>
                                                    <w:right w:val="none" w:sz="0" w:space="0" w:color="auto"/>
                                                  </w:divBdr>
                                                  <w:divsChild>
                                                    <w:div w:id="866451486">
                                                      <w:marLeft w:val="0"/>
                                                      <w:marRight w:val="0"/>
                                                      <w:marTop w:val="0"/>
                                                      <w:marBottom w:val="0"/>
                                                      <w:divBdr>
                                                        <w:top w:val="none" w:sz="0" w:space="0" w:color="auto"/>
                                                        <w:left w:val="none" w:sz="0" w:space="0" w:color="auto"/>
                                                        <w:bottom w:val="none" w:sz="0" w:space="0" w:color="auto"/>
                                                        <w:right w:val="none" w:sz="0" w:space="0" w:color="auto"/>
                                                      </w:divBdr>
                                                      <w:divsChild>
                                                        <w:div w:id="923413041">
                                                          <w:marLeft w:val="0"/>
                                                          <w:marRight w:val="0"/>
                                                          <w:marTop w:val="0"/>
                                                          <w:marBottom w:val="0"/>
                                                          <w:divBdr>
                                                            <w:top w:val="none" w:sz="0" w:space="0" w:color="auto"/>
                                                            <w:left w:val="none" w:sz="0" w:space="0" w:color="auto"/>
                                                            <w:bottom w:val="none" w:sz="0" w:space="0" w:color="auto"/>
                                                            <w:right w:val="none" w:sz="0" w:space="0" w:color="auto"/>
                                                          </w:divBdr>
                                                          <w:divsChild>
                                                            <w:div w:id="1363090248">
                                                              <w:marLeft w:val="0"/>
                                                              <w:marRight w:val="0"/>
                                                              <w:marTop w:val="0"/>
                                                              <w:marBottom w:val="0"/>
                                                              <w:divBdr>
                                                                <w:top w:val="none" w:sz="0" w:space="0" w:color="auto"/>
                                                                <w:left w:val="none" w:sz="0" w:space="0" w:color="auto"/>
                                                                <w:bottom w:val="none" w:sz="0" w:space="0" w:color="auto"/>
                                                                <w:right w:val="none" w:sz="0" w:space="0" w:color="auto"/>
                                                              </w:divBdr>
                                                              <w:divsChild>
                                                                <w:div w:id="551774794">
                                                                  <w:marLeft w:val="0"/>
                                                                  <w:marRight w:val="0"/>
                                                                  <w:marTop w:val="0"/>
                                                                  <w:marBottom w:val="0"/>
                                                                  <w:divBdr>
                                                                    <w:top w:val="none" w:sz="0" w:space="0" w:color="auto"/>
                                                                    <w:left w:val="none" w:sz="0" w:space="0" w:color="auto"/>
                                                                    <w:bottom w:val="none" w:sz="0" w:space="0" w:color="auto"/>
                                                                    <w:right w:val="none" w:sz="0" w:space="0" w:color="auto"/>
                                                                  </w:divBdr>
                                                                  <w:divsChild>
                                                                    <w:div w:id="468861000">
                                                                      <w:marLeft w:val="0"/>
                                                                      <w:marRight w:val="0"/>
                                                                      <w:marTop w:val="0"/>
                                                                      <w:marBottom w:val="0"/>
                                                                      <w:divBdr>
                                                                        <w:top w:val="none" w:sz="0" w:space="0" w:color="auto"/>
                                                                        <w:left w:val="none" w:sz="0" w:space="0" w:color="auto"/>
                                                                        <w:bottom w:val="none" w:sz="0" w:space="0" w:color="auto"/>
                                                                        <w:right w:val="none" w:sz="0" w:space="0" w:color="auto"/>
                                                                      </w:divBdr>
                                                                      <w:divsChild>
                                                                        <w:div w:id="285813210">
                                                                          <w:marLeft w:val="0"/>
                                                                          <w:marRight w:val="0"/>
                                                                          <w:marTop w:val="0"/>
                                                                          <w:marBottom w:val="0"/>
                                                                          <w:divBdr>
                                                                            <w:top w:val="none" w:sz="0" w:space="0" w:color="auto"/>
                                                                            <w:left w:val="none" w:sz="0" w:space="0" w:color="auto"/>
                                                                            <w:bottom w:val="none" w:sz="0" w:space="0" w:color="auto"/>
                                                                            <w:right w:val="none" w:sz="0" w:space="0" w:color="auto"/>
                                                                          </w:divBdr>
                                                                          <w:divsChild>
                                                                            <w:div w:id="381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210598">
      <w:bodyDiv w:val="1"/>
      <w:marLeft w:val="0"/>
      <w:marRight w:val="0"/>
      <w:marTop w:val="0"/>
      <w:marBottom w:val="0"/>
      <w:divBdr>
        <w:top w:val="none" w:sz="0" w:space="0" w:color="auto"/>
        <w:left w:val="none" w:sz="0" w:space="0" w:color="auto"/>
        <w:bottom w:val="none" w:sz="0" w:space="0" w:color="auto"/>
        <w:right w:val="none" w:sz="0" w:space="0" w:color="auto"/>
      </w:divBdr>
      <w:divsChild>
        <w:div w:id="217202725">
          <w:marLeft w:val="0"/>
          <w:marRight w:val="0"/>
          <w:marTop w:val="0"/>
          <w:marBottom w:val="0"/>
          <w:divBdr>
            <w:top w:val="none" w:sz="0" w:space="0" w:color="auto"/>
            <w:left w:val="none" w:sz="0" w:space="0" w:color="auto"/>
            <w:bottom w:val="none" w:sz="0" w:space="0" w:color="auto"/>
            <w:right w:val="none" w:sz="0" w:space="0" w:color="auto"/>
          </w:divBdr>
        </w:div>
        <w:div w:id="1996489753">
          <w:marLeft w:val="0"/>
          <w:marRight w:val="0"/>
          <w:marTop w:val="0"/>
          <w:marBottom w:val="0"/>
          <w:divBdr>
            <w:top w:val="none" w:sz="0" w:space="0" w:color="auto"/>
            <w:left w:val="none" w:sz="0" w:space="0" w:color="auto"/>
            <w:bottom w:val="none" w:sz="0" w:space="0" w:color="auto"/>
            <w:right w:val="none" w:sz="0" w:space="0" w:color="auto"/>
          </w:divBdr>
        </w:div>
        <w:div w:id="738093966">
          <w:marLeft w:val="0"/>
          <w:marRight w:val="0"/>
          <w:marTop w:val="0"/>
          <w:marBottom w:val="0"/>
          <w:divBdr>
            <w:top w:val="none" w:sz="0" w:space="0" w:color="auto"/>
            <w:left w:val="none" w:sz="0" w:space="0" w:color="auto"/>
            <w:bottom w:val="none" w:sz="0" w:space="0" w:color="auto"/>
            <w:right w:val="none" w:sz="0" w:space="0" w:color="auto"/>
          </w:divBdr>
        </w:div>
        <w:div w:id="1465930041">
          <w:marLeft w:val="0"/>
          <w:marRight w:val="0"/>
          <w:marTop w:val="0"/>
          <w:marBottom w:val="0"/>
          <w:divBdr>
            <w:top w:val="none" w:sz="0" w:space="0" w:color="auto"/>
            <w:left w:val="none" w:sz="0" w:space="0" w:color="auto"/>
            <w:bottom w:val="none" w:sz="0" w:space="0" w:color="auto"/>
            <w:right w:val="none" w:sz="0" w:space="0" w:color="auto"/>
          </w:divBdr>
        </w:div>
        <w:div w:id="260913006">
          <w:marLeft w:val="0"/>
          <w:marRight w:val="0"/>
          <w:marTop w:val="0"/>
          <w:marBottom w:val="0"/>
          <w:divBdr>
            <w:top w:val="none" w:sz="0" w:space="0" w:color="auto"/>
            <w:left w:val="none" w:sz="0" w:space="0" w:color="auto"/>
            <w:bottom w:val="none" w:sz="0" w:space="0" w:color="auto"/>
            <w:right w:val="none" w:sz="0" w:space="0" w:color="auto"/>
          </w:divBdr>
        </w:div>
        <w:div w:id="568030217">
          <w:marLeft w:val="0"/>
          <w:marRight w:val="0"/>
          <w:marTop w:val="0"/>
          <w:marBottom w:val="0"/>
          <w:divBdr>
            <w:top w:val="none" w:sz="0" w:space="0" w:color="auto"/>
            <w:left w:val="none" w:sz="0" w:space="0" w:color="auto"/>
            <w:bottom w:val="none" w:sz="0" w:space="0" w:color="auto"/>
            <w:right w:val="none" w:sz="0" w:space="0" w:color="auto"/>
          </w:divBdr>
        </w:div>
        <w:div w:id="653686588">
          <w:marLeft w:val="0"/>
          <w:marRight w:val="0"/>
          <w:marTop w:val="0"/>
          <w:marBottom w:val="0"/>
          <w:divBdr>
            <w:top w:val="none" w:sz="0" w:space="0" w:color="auto"/>
            <w:left w:val="none" w:sz="0" w:space="0" w:color="auto"/>
            <w:bottom w:val="none" w:sz="0" w:space="0" w:color="auto"/>
            <w:right w:val="none" w:sz="0" w:space="0" w:color="auto"/>
          </w:divBdr>
        </w:div>
        <w:div w:id="1414205258">
          <w:marLeft w:val="0"/>
          <w:marRight w:val="0"/>
          <w:marTop w:val="0"/>
          <w:marBottom w:val="0"/>
          <w:divBdr>
            <w:top w:val="none" w:sz="0" w:space="0" w:color="auto"/>
            <w:left w:val="none" w:sz="0" w:space="0" w:color="auto"/>
            <w:bottom w:val="none" w:sz="0" w:space="0" w:color="auto"/>
            <w:right w:val="none" w:sz="0" w:space="0" w:color="auto"/>
          </w:divBdr>
        </w:div>
      </w:divsChild>
    </w:div>
    <w:div w:id="616254564">
      <w:bodyDiv w:val="1"/>
      <w:marLeft w:val="0"/>
      <w:marRight w:val="0"/>
      <w:marTop w:val="0"/>
      <w:marBottom w:val="0"/>
      <w:divBdr>
        <w:top w:val="none" w:sz="0" w:space="0" w:color="auto"/>
        <w:left w:val="none" w:sz="0" w:space="0" w:color="auto"/>
        <w:bottom w:val="none" w:sz="0" w:space="0" w:color="auto"/>
        <w:right w:val="none" w:sz="0" w:space="0" w:color="auto"/>
      </w:divBdr>
    </w:div>
    <w:div w:id="1038549080">
      <w:bodyDiv w:val="1"/>
      <w:marLeft w:val="0"/>
      <w:marRight w:val="0"/>
      <w:marTop w:val="0"/>
      <w:marBottom w:val="0"/>
      <w:divBdr>
        <w:top w:val="none" w:sz="0" w:space="0" w:color="auto"/>
        <w:left w:val="none" w:sz="0" w:space="0" w:color="auto"/>
        <w:bottom w:val="none" w:sz="0" w:space="0" w:color="auto"/>
        <w:right w:val="none" w:sz="0" w:space="0" w:color="auto"/>
      </w:divBdr>
    </w:div>
    <w:div w:id="1094788621">
      <w:bodyDiv w:val="1"/>
      <w:marLeft w:val="0"/>
      <w:marRight w:val="0"/>
      <w:marTop w:val="0"/>
      <w:marBottom w:val="0"/>
      <w:divBdr>
        <w:top w:val="none" w:sz="0" w:space="0" w:color="auto"/>
        <w:left w:val="none" w:sz="0" w:space="0" w:color="auto"/>
        <w:bottom w:val="none" w:sz="0" w:space="0" w:color="auto"/>
        <w:right w:val="none" w:sz="0" w:space="0" w:color="auto"/>
      </w:divBdr>
    </w:div>
    <w:div w:id="1189564289">
      <w:bodyDiv w:val="1"/>
      <w:marLeft w:val="0"/>
      <w:marRight w:val="0"/>
      <w:marTop w:val="0"/>
      <w:marBottom w:val="0"/>
      <w:divBdr>
        <w:top w:val="none" w:sz="0" w:space="0" w:color="auto"/>
        <w:left w:val="none" w:sz="0" w:space="0" w:color="auto"/>
        <w:bottom w:val="none" w:sz="0" w:space="0" w:color="auto"/>
        <w:right w:val="none" w:sz="0" w:space="0" w:color="auto"/>
      </w:divBdr>
    </w:div>
    <w:div w:id="1224683638">
      <w:bodyDiv w:val="1"/>
      <w:marLeft w:val="0"/>
      <w:marRight w:val="0"/>
      <w:marTop w:val="0"/>
      <w:marBottom w:val="0"/>
      <w:divBdr>
        <w:top w:val="none" w:sz="0" w:space="0" w:color="auto"/>
        <w:left w:val="none" w:sz="0" w:space="0" w:color="auto"/>
        <w:bottom w:val="none" w:sz="0" w:space="0" w:color="auto"/>
        <w:right w:val="none" w:sz="0" w:space="0" w:color="auto"/>
      </w:divBdr>
    </w:div>
    <w:div w:id="20320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civix/document/id/complete/statreg/127_98" TargetMode="External"/><Relationship Id="rId13" Type="http://schemas.openxmlformats.org/officeDocument/2006/relationships/hyperlink" Target="http://www.bclaws.ca/civix/document/id/complete/statreg/96430_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courts.ca/supreme_court/practice_and_procedure/practice_directions/civil/PD%20-%2012%20Infant%20Settlements%20and%20Fee%20Agreements%20-%20Applications%20for%20Approv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wsociety.bc.ca/lsbc/apps/hearings/viewreport.cfm?hearing_id=928&amp;t=Samuels-Decision-on-Disciplinar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stee.bc.ca/" TargetMode="External"/><Relationship Id="rId5" Type="http://schemas.openxmlformats.org/officeDocument/2006/relationships/webSettings" Target="webSettings.xml"/><Relationship Id="rId15" Type="http://schemas.openxmlformats.org/officeDocument/2006/relationships/hyperlink" Target="https://www.bccourts.ca/jdb-txt/sc/20/00/2020BCSC0042.htm" TargetMode="External"/><Relationship Id="rId10" Type="http://schemas.openxmlformats.org/officeDocument/2006/relationships/hyperlink" Target="http://www.mediateb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claws.ca/civix/document/id/lc/statreg/4_2001" TargetMode="External"/><Relationship Id="rId14" Type="http://schemas.openxmlformats.org/officeDocument/2006/relationships/hyperlink" Target="http://www.courts.gov.bc.ca/jdb-txt/sc/18/02/2018BCSC02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30BB-E72D-4602-B7B5-4F7676E8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5449</Words>
  <Characters>31061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Linegar</dc:creator>
  <cp:keywords/>
  <dc:description/>
  <cp:lastModifiedBy>Sandy Kovacs</cp:lastModifiedBy>
  <cp:revision>32</cp:revision>
  <dcterms:created xsi:type="dcterms:W3CDTF">2020-03-22T15:58:00Z</dcterms:created>
  <dcterms:modified xsi:type="dcterms:W3CDTF">2020-03-23T16:33:00Z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\2020 Updated Materials - USE THIS FOLDER\2020</vt:lpwstr>
  </property>
</Properties>
</file>