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F2619B" w:rsidRPr="0099340E" w:rsidTr="006234BD">
        <w:tc>
          <w:tcPr>
            <w:tcW w:w="3227" w:type="dxa"/>
            <w:tcBorders>
              <w:top w:val="single" w:sz="4" w:space="0" w:color="auto"/>
              <w:left w:val="nil"/>
              <w:bottom w:val="nil"/>
              <w:right w:val="nil"/>
            </w:tcBorders>
          </w:tcPr>
          <w:p w:rsidR="00F2619B" w:rsidRPr="0099340E" w:rsidRDefault="00F2619B" w:rsidP="006234BD">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F2619B" w:rsidRPr="0099340E" w:rsidRDefault="00F2619B" w:rsidP="006234BD">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F2619B" w:rsidRPr="0099340E" w:rsidRDefault="00F2619B" w:rsidP="006234BD">
            <w:pPr>
              <w:pStyle w:val="Title"/>
              <w:tabs>
                <w:tab w:val="left" w:pos="360"/>
              </w:tabs>
              <w:ind w:right="0"/>
              <w:jc w:val="both"/>
              <w:rPr>
                <w:sz w:val="24"/>
                <w:szCs w:val="24"/>
                <w:lang w:eastAsia="en-US"/>
              </w:rPr>
            </w:pPr>
          </w:p>
        </w:tc>
      </w:tr>
      <w:tr w:rsidR="00F2619B" w:rsidRPr="0099340E" w:rsidTr="006234BD">
        <w:tc>
          <w:tcPr>
            <w:tcW w:w="3227" w:type="dxa"/>
            <w:tcBorders>
              <w:top w:val="nil"/>
              <w:left w:val="nil"/>
              <w:bottom w:val="nil"/>
              <w:right w:val="nil"/>
            </w:tcBorders>
            <w:hideMark/>
          </w:tcPr>
          <w:p w:rsidR="00F2619B" w:rsidRPr="0099340E" w:rsidRDefault="00F2619B" w:rsidP="006234BD">
            <w:pPr>
              <w:pStyle w:val="Title"/>
              <w:tabs>
                <w:tab w:val="left" w:pos="360"/>
              </w:tabs>
              <w:ind w:right="0"/>
              <w:jc w:val="both"/>
              <w:rPr>
                <w:sz w:val="24"/>
                <w:szCs w:val="24"/>
                <w:lang w:eastAsia="en-US"/>
              </w:rPr>
            </w:pPr>
            <w:r w:rsidRPr="0099340E">
              <w:rPr>
                <w:sz w:val="24"/>
                <w:szCs w:val="24"/>
              </w:rPr>
              <w:t>Law 435C.001</w:t>
            </w:r>
          </w:p>
        </w:tc>
        <w:tc>
          <w:tcPr>
            <w:tcW w:w="4081" w:type="dxa"/>
            <w:tcBorders>
              <w:top w:val="nil"/>
              <w:left w:val="nil"/>
              <w:bottom w:val="nil"/>
              <w:right w:val="nil"/>
            </w:tcBorders>
            <w:hideMark/>
          </w:tcPr>
          <w:p w:rsidR="00F2619B" w:rsidRPr="0099340E" w:rsidRDefault="00F2619B" w:rsidP="006234BD">
            <w:pPr>
              <w:pStyle w:val="Title"/>
              <w:tabs>
                <w:tab w:val="left" w:pos="360"/>
              </w:tabs>
              <w:ind w:right="0"/>
              <w:jc w:val="both"/>
              <w:rPr>
                <w:sz w:val="24"/>
                <w:szCs w:val="24"/>
                <w:lang w:eastAsia="en-US"/>
              </w:rPr>
            </w:pPr>
            <w:r w:rsidRPr="0099340E">
              <w:rPr>
                <w:sz w:val="24"/>
                <w:szCs w:val="24"/>
              </w:rPr>
              <w:t>Personal Injury Advocacy</w:t>
            </w:r>
          </w:p>
        </w:tc>
        <w:tc>
          <w:tcPr>
            <w:tcW w:w="2952" w:type="dxa"/>
            <w:tcBorders>
              <w:top w:val="nil"/>
              <w:left w:val="nil"/>
              <w:bottom w:val="nil"/>
              <w:right w:val="nil"/>
            </w:tcBorders>
            <w:hideMark/>
          </w:tcPr>
          <w:p w:rsidR="00F2619B" w:rsidRPr="0099340E" w:rsidRDefault="00F2619B" w:rsidP="006234BD">
            <w:pPr>
              <w:pStyle w:val="Title"/>
              <w:tabs>
                <w:tab w:val="left" w:pos="360"/>
              </w:tabs>
              <w:ind w:right="0"/>
              <w:jc w:val="both"/>
              <w:rPr>
                <w:sz w:val="24"/>
                <w:szCs w:val="24"/>
                <w:lang w:eastAsia="en-US"/>
              </w:rPr>
            </w:pPr>
            <w:r w:rsidRPr="0099340E">
              <w:rPr>
                <w:sz w:val="24"/>
                <w:szCs w:val="24"/>
              </w:rPr>
              <w:t>2020  Term 2</w:t>
            </w:r>
          </w:p>
        </w:tc>
      </w:tr>
      <w:tr w:rsidR="00F2619B" w:rsidRPr="0099340E" w:rsidTr="006234BD">
        <w:tc>
          <w:tcPr>
            <w:tcW w:w="3227" w:type="dxa"/>
            <w:tcBorders>
              <w:top w:val="nil"/>
              <w:left w:val="nil"/>
              <w:bottom w:val="nil"/>
              <w:right w:val="nil"/>
            </w:tcBorders>
          </w:tcPr>
          <w:p w:rsidR="00F2619B" w:rsidRPr="0099340E" w:rsidRDefault="00F2619B" w:rsidP="006234BD">
            <w:pPr>
              <w:pStyle w:val="Title"/>
              <w:tabs>
                <w:tab w:val="left" w:pos="360"/>
              </w:tabs>
              <w:ind w:right="0"/>
              <w:jc w:val="left"/>
              <w:rPr>
                <w:sz w:val="24"/>
                <w:szCs w:val="24"/>
                <w:lang w:eastAsia="en-US"/>
              </w:rPr>
            </w:pPr>
          </w:p>
        </w:tc>
        <w:tc>
          <w:tcPr>
            <w:tcW w:w="4081" w:type="dxa"/>
            <w:tcBorders>
              <w:top w:val="nil"/>
              <w:left w:val="nil"/>
              <w:bottom w:val="nil"/>
              <w:right w:val="nil"/>
            </w:tcBorders>
          </w:tcPr>
          <w:p w:rsidR="00F2619B" w:rsidRPr="0099340E" w:rsidRDefault="00F2619B" w:rsidP="006234BD">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F2619B" w:rsidRPr="0099340E" w:rsidRDefault="00F2619B" w:rsidP="006234BD">
            <w:pPr>
              <w:pStyle w:val="Title"/>
              <w:tabs>
                <w:tab w:val="left" w:pos="360"/>
              </w:tabs>
              <w:ind w:right="0"/>
              <w:jc w:val="left"/>
              <w:rPr>
                <w:sz w:val="24"/>
                <w:szCs w:val="24"/>
                <w:lang w:eastAsia="en-US"/>
              </w:rPr>
            </w:pPr>
          </w:p>
        </w:tc>
      </w:tr>
      <w:tr w:rsidR="00F2619B" w:rsidRPr="0099340E" w:rsidTr="006234BD">
        <w:tc>
          <w:tcPr>
            <w:tcW w:w="3227" w:type="dxa"/>
            <w:tcBorders>
              <w:top w:val="nil"/>
              <w:left w:val="nil"/>
              <w:bottom w:val="nil"/>
              <w:right w:val="nil"/>
            </w:tcBorders>
            <w:hideMark/>
          </w:tcPr>
          <w:p w:rsidR="00F2619B" w:rsidRPr="0099340E" w:rsidRDefault="00F2619B" w:rsidP="006234BD">
            <w:pPr>
              <w:pStyle w:val="Title"/>
              <w:tabs>
                <w:tab w:val="left" w:pos="360"/>
              </w:tabs>
              <w:ind w:right="0"/>
              <w:jc w:val="left"/>
              <w:rPr>
                <w:b w:val="0"/>
                <w:sz w:val="24"/>
                <w:szCs w:val="24"/>
                <w:lang w:eastAsia="en-US"/>
              </w:rPr>
            </w:pPr>
            <w:r w:rsidRPr="0099340E">
              <w:rPr>
                <w:b w:val="0"/>
                <w:sz w:val="24"/>
                <w:szCs w:val="24"/>
              </w:rPr>
              <w:t>Professors:</w:t>
            </w:r>
          </w:p>
          <w:p w:rsidR="00F2619B" w:rsidRPr="0099340E" w:rsidRDefault="00F2619B" w:rsidP="006234BD">
            <w:pPr>
              <w:pStyle w:val="Title"/>
              <w:tabs>
                <w:tab w:val="left" w:pos="360"/>
              </w:tabs>
              <w:ind w:right="0"/>
              <w:jc w:val="left"/>
              <w:rPr>
                <w:b w:val="0"/>
                <w:sz w:val="24"/>
                <w:szCs w:val="24"/>
                <w:lang w:eastAsia="en-US"/>
              </w:rPr>
            </w:pPr>
            <w:r w:rsidRPr="0099340E">
              <w:rPr>
                <w:b w:val="0"/>
                <w:sz w:val="24"/>
                <w:szCs w:val="24"/>
              </w:rPr>
              <w:t>MARC KAZIMIRSKI and SANDRA KOVACS</w:t>
            </w:r>
          </w:p>
        </w:tc>
        <w:tc>
          <w:tcPr>
            <w:tcW w:w="4081" w:type="dxa"/>
            <w:tcBorders>
              <w:top w:val="nil"/>
              <w:left w:val="nil"/>
              <w:bottom w:val="nil"/>
              <w:right w:val="nil"/>
            </w:tcBorders>
            <w:hideMark/>
          </w:tcPr>
          <w:p w:rsidR="00F2619B" w:rsidRPr="0099340E" w:rsidRDefault="00F2619B" w:rsidP="006234BD">
            <w:pPr>
              <w:pStyle w:val="Title"/>
              <w:tabs>
                <w:tab w:val="left" w:pos="360"/>
              </w:tabs>
              <w:ind w:right="0"/>
              <w:jc w:val="left"/>
              <w:rPr>
                <w:b w:val="0"/>
                <w:sz w:val="24"/>
                <w:szCs w:val="24"/>
                <w:lang w:eastAsia="en-US"/>
              </w:rPr>
            </w:pPr>
            <w:r w:rsidRPr="0099340E">
              <w:rPr>
                <w:b w:val="0"/>
                <w:sz w:val="24"/>
                <w:szCs w:val="24"/>
              </w:rPr>
              <w:t>Tel: (604) 681-9344</w:t>
            </w:r>
          </w:p>
          <w:p w:rsidR="00F2619B" w:rsidRPr="0099340E" w:rsidRDefault="00F2619B" w:rsidP="006234BD">
            <w:pPr>
              <w:pStyle w:val="Title"/>
              <w:tabs>
                <w:tab w:val="left" w:pos="360"/>
              </w:tabs>
              <w:ind w:right="0"/>
              <w:jc w:val="left"/>
              <w:rPr>
                <w:b w:val="0"/>
                <w:sz w:val="24"/>
                <w:szCs w:val="24"/>
                <w:lang w:eastAsia="en-US"/>
              </w:rPr>
            </w:pPr>
            <w:r w:rsidRPr="0099340E">
              <w:rPr>
                <w:b w:val="0"/>
                <w:sz w:val="24"/>
                <w:szCs w:val="24"/>
              </w:rPr>
              <w:t xml:space="preserve">Email: mak@kazlaw.ca Office: 1900-570 Granville Street, Vancouver BC </w:t>
            </w:r>
          </w:p>
        </w:tc>
        <w:tc>
          <w:tcPr>
            <w:tcW w:w="2952" w:type="dxa"/>
            <w:tcBorders>
              <w:top w:val="nil"/>
              <w:left w:val="nil"/>
              <w:bottom w:val="nil"/>
              <w:right w:val="nil"/>
            </w:tcBorders>
          </w:tcPr>
          <w:p w:rsidR="00F2619B" w:rsidRPr="0099340E" w:rsidRDefault="00F2619B" w:rsidP="006234BD">
            <w:pPr>
              <w:pStyle w:val="Title"/>
              <w:tabs>
                <w:tab w:val="left" w:pos="360"/>
              </w:tabs>
              <w:ind w:right="0"/>
              <w:jc w:val="left"/>
              <w:rPr>
                <w:b w:val="0"/>
                <w:sz w:val="24"/>
                <w:szCs w:val="24"/>
                <w:lang w:eastAsia="en-US"/>
              </w:rPr>
            </w:pPr>
            <w:r w:rsidRPr="0099340E">
              <w:rPr>
                <w:b w:val="0"/>
                <w:sz w:val="24"/>
                <w:szCs w:val="24"/>
              </w:rPr>
              <w:t>Mondays 5:00 – 8:00 pm</w:t>
            </w:r>
          </w:p>
          <w:p w:rsidR="00F2619B" w:rsidRPr="0099340E" w:rsidRDefault="00F2619B" w:rsidP="006234BD">
            <w:pPr>
              <w:pStyle w:val="Title"/>
              <w:tabs>
                <w:tab w:val="left" w:pos="360"/>
              </w:tabs>
              <w:ind w:right="0"/>
              <w:jc w:val="left"/>
              <w:rPr>
                <w:b w:val="0"/>
                <w:sz w:val="24"/>
                <w:szCs w:val="24"/>
              </w:rPr>
            </w:pPr>
            <w:r w:rsidRPr="0099340E">
              <w:rPr>
                <w:b w:val="0"/>
                <w:sz w:val="24"/>
                <w:szCs w:val="24"/>
              </w:rPr>
              <w:t>UBC Allard Hall</w:t>
            </w:r>
            <w:r w:rsidRPr="0099340E">
              <w:rPr>
                <w:b w:val="0"/>
                <w:sz w:val="24"/>
                <w:szCs w:val="24"/>
              </w:rPr>
              <w:br/>
              <w:t>Faculty of Law</w:t>
            </w:r>
          </w:p>
          <w:p w:rsidR="00F2619B" w:rsidRPr="0099340E" w:rsidRDefault="00F2619B" w:rsidP="006234BD">
            <w:pPr>
              <w:pStyle w:val="Title"/>
              <w:tabs>
                <w:tab w:val="left" w:pos="360"/>
              </w:tabs>
              <w:ind w:right="0"/>
              <w:jc w:val="left"/>
              <w:rPr>
                <w:b w:val="0"/>
                <w:sz w:val="24"/>
                <w:szCs w:val="24"/>
              </w:rPr>
            </w:pPr>
            <w:r w:rsidRPr="00F2619B">
              <w:rPr>
                <w:b w:val="0"/>
                <w:strike/>
                <w:sz w:val="24"/>
                <w:szCs w:val="24"/>
              </w:rPr>
              <w:t>Room 122</w:t>
            </w:r>
            <w:r w:rsidRPr="0099340E">
              <w:rPr>
                <w:b w:val="0"/>
                <w:sz w:val="24"/>
                <w:szCs w:val="24"/>
              </w:rPr>
              <w:t xml:space="preserve"> </w:t>
            </w:r>
            <w:r>
              <w:rPr>
                <w:b w:val="0"/>
                <w:sz w:val="24"/>
                <w:szCs w:val="24"/>
              </w:rPr>
              <w:t>(Online)</w:t>
            </w:r>
          </w:p>
          <w:p w:rsidR="00F2619B" w:rsidRPr="0099340E" w:rsidRDefault="00F2619B" w:rsidP="006234BD">
            <w:pPr>
              <w:pStyle w:val="Title"/>
              <w:tabs>
                <w:tab w:val="left" w:pos="360"/>
              </w:tabs>
              <w:ind w:right="0"/>
              <w:jc w:val="left"/>
              <w:rPr>
                <w:b w:val="0"/>
                <w:sz w:val="24"/>
                <w:szCs w:val="24"/>
                <w:lang w:eastAsia="en-US"/>
              </w:rPr>
            </w:pPr>
          </w:p>
        </w:tc>
      </w:tr>
      <w:tr w:rsidR="00F2619B" w:rsidRPr="0099340E" w:rsidTr="006234BD">
        <w:tc>
          <w:tcPr>
            <w:tcW w:w="3227" w:type="dxa"/>
            <w:tcBorders>
              <w:top w:val="nil"/>
              <w:left w:val="nil"/>
              <w:bottom w:val="single" w:sz="4" w:space="0" w:color="auto"/>
              <w:right w:val="nil"/>
            </w:tcBorders>
          </w:tcPr>
          <w:p w:rsidR="00F2619B" w:rsidRPr="0099340E" w:rsidRDefault="00F2619B" w:rsidP="006234BD">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F2619B" w:rsidRPr="0099340E" w:rsidRDefault="00F2619B" w:rsidP="006234BD">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F2619B" w:rsidRPr="0099340E" w:rsidRDefault="00F2619B" w:rsidP="006234BD">
            <w:pPr>
              <w:pStyle w:val="Title"/>
              <w:tabs>
                <w:tab w:val="left" w:pos="360"/>
              </w:tabs>
              <w:ind w:right="0"/>
              <w:jc w:val="both"/>
              <w:rPr>
                <w:b w:val="0"/>
                <w:sz w:val="24"/>
                <w:szCs w:val="24"/>
                <w:lang w:eastAsia="en-US"/>
              </w:rPr>
            </w:pPr>
          </w:p>
        </w:tc>
      </w:tr>
    </w:tbl>
    <w:p w:rsidR="00F2619B" w:rsidRPr="00425DBD" w:rsidRDefault="00F2619B" w:rsidP="00472235">
      <w:pPr>
        <w:tabs>
          <w:tab w:val="center" w:pos="4513"/>
        </w:tabs>
        <w:suppressAutoHyphens/>
        <w:spacing w:line="240" w:lineRule="atLeast"/>
        <w:jc w:val="both"/>
        <w:rPr>
          <w:rFonts w:ascii="Arial" w:hAnsi="Arial" w:cs="Arial"/>
          <w:b/>
          <w:bCs/>
          <w:spacing w:val="-3"/>
        </w:rPr>
      </w:pPr>
    </w:p>
    <w:p w:rsidR="00472235" w:rsidRPr="00425DBD" w:rsidRDefault="00472235" w:rsidP="006F5F57">
      <w:pPr>
        <w:tabs>
          <w:tab w:val="center" w:pos="4513"/>
        </w:tabs>
        <w:suppressAutoHyphens/>
        <w:spacing w:line="240" w:lineRule="atLeast"/>
        <w:ind w:left="810" w:hanging="810"/>
        <w:jc w:val="center"/>
        <w:rPr>
          <w:rFonts w:ascii="Arial" w:hAnsi="Arial" w:cs="Arial"/>
          <w:b/>
          <w:color w:val="0000FF"/>
          <w:spacing w:val="-3"/>
        </w:rPr>
      </w:pPr>
      <w:r w:rsidRPr="00425DBD">
        <w:rPr>
          <w:rFonts w:ascii="Arial" w:hAnsi="Arial" w:cs="Arial"/>
          <w:b/>
          <w:bCs/>
          <w:spacing w:val="-3"/>
        </w:rPr>
        <w:t xml:space="preserve">WEEK </w:t>
      </w:r>
      <w:r w:rsidR="00CE58C7" w:rsidRPr="00425DBD">
        <w:rPr>
          <w:rFonts w:ascii="Arial" w:hAnsi="Arial" w:cs="Arial"/>
          <w:b/>
          <w:bCs/>
          <w:spacing w:val="-3"/>
        </w:rPr>
        <w:t>1</w:t>
      </w:r>
      <w:r w:rsidR="005738D6">
        <w:rPr>
          <w:rFonts w:ascii="Arial" w:hAnsi="Arial" w:cs="Arial"/>
          <w:b/>
          <w:bCs/>
          <w:spacing w:val="-3"/>
        </w:rPr>
        <w:t>2</w:t>
      </w:r>
      <w:r w:rsidR="008F2F72">
        <w:rPr>
          <w:rFonts w:ascii="Arial" w:hAnsi="Arial" w:cs="Arial"/>
          <w:b/>
        </w:rPr>
        <w:t xml:space="preserve">: </w:t>
      </w:r>
      <w:r w:rsidR="008F2F72">
        <w:rPr>
          <w:rFonts w:ascii="Arial" w:hAnsi="Arial" w:cs="Arial"/>
          <w:b/>
        </w:rPr>
        <w:br/>
      </w:r>
      <w:r w:rsidR="00C25F6C">
        <w:rPr>
          <w:rFonts w:ascii="Arial" w:hAnsi="Arial" w:cs="Arial"/>
          <w:b/>
        </w:rPr>
        <w:t xml:space="preserve">UMP, </w:t>
      </w:r>
      <w:r w:rsidR="00CE58C7" w:rsidRPr="00425DBD">
        <w:rPr>
          <w:rFonts w:ascii="Arial" w:hAnsi="Arial" w:cs="Arial"/>
          <w:b/>
        </w:rPr>
        <w:t>Part 7 Benefits</w:t>
      </w:r>
      <w:r w:rsidR="008F2F72">
        <w:rPr>
          <w:rFonts w:ascii="Arial" w:hAnsi="Arial" w:cs="Arial"/>
          <w:b/>
        </w:rPr>
        <w:t>, Minor Injury Caps, Limits on Experts,</w:t>
      </w:r>
      <w:r w:rsidR="005738D6">
        <w:rPr>
          <w:rFonts w:ascii="Arial" w:hAnsi="Arial" w:cs="Arial"/>
          <w:b/>
        </w:rPr>
        <w:t xml:space="preserve"> and </w:t>
      </w:r>
      <w:r w:rsidR="00C528D9">
        <w:rPr>
          <w:rFonts w:ascii="Arial" w:hAnsi="Arial" w:cs="Arial"/>
          <w:b/>
        </w:rPr>
        <w:t>“No Fault”</w:t>
      </w:r>
      <w:r w:rsidRPr="00425DBD">
        <w:rPr>
          <w:rFonts w:ascii="Arial" w:hAnsi="Arial" w:cs="Arial"/>
          <w:b/>
          <w:bCs/>
          <w:u w:val="single"/>
        </w:rPr>
        <w:br/>
      </w:r>
    </w:p>
    <w:p w:rsidR="00472235" w:rsidRDefault="009F6E5C" w:rsidP="006F5F57">
      <w:pPr>
        <w:pStyle w:val="Default"/>
        <w:numPr>
          <w:ilvl w:val="1"/>
          <w:numId w:val="1"/>
        </w:numPr>
        <w:ind w:left="810" w:hanging="810"/>
        <w:jc w:val="both"/>
        <w:rPr>
          <w:rFonts w:ascii="Arial" w:hAnsi="Arial" w:cs="Arial"/>
          <w:b/>
        </w:rPr>
      </w:pPr>
      <w:r>
        <w:rPr>
          <w:rFonts w:ascii="Arial" w:hAnsi="Arial" w:cs="Arial"/>
          <w:b/>
        </w:rPr>
        <w:t>TEACHING OBJECTIVES</w:t>
      </w:r>
    </w:p>
    <w:p w:rsidR="005738D6" w:rsidRDefault="005738D6" w:rsidP="005738D6">
      <w:pPr>
        <w:pStyle w:val="Default"/>
        <w:ind w:left="810"/>
        <w:jc w:val="both"/>
        <w:rPr>
          <w:rFonts w:ascii="Arial" w:hAnsi="Arial" w:cs="Arial"/>
          <w:b/>
        </w:rPr>
      </w:pPr>
    </w:p>
    <w:p w:rsidR="00C528D9" w:rsidRDefault="00C528D9" w:rsidP="00C528D9">
      <w:pPr>
        <w:pStyle w:val="Default"/>
        <w:numPr>
          <w:ilvl w:val="0"/>
          <w:numId w:val="20"/>
        </w:numPr>
        <w:spacing w:after="240"/>
        <w:ind w:left="1267"/>
        <w:jc w:val="both"/>
        <w:rPr>
          <w:rFonts w:ascii="Arial" w:hAnsi="Arial" w:cs="Arial"/>
        </w:rPr>
      </w:pPr>
      <w:r>
        <w:rPr>
          <w:rFonts w:ascii="Arial" w:hAnsi="Arial" w:cs="Arial"/>
        </w:rPr>
        <w:t xml:space="preserve">The goal of our last substantive class this semester is </w:t>
      </w:r>
      <w:r w:rsidRPr="00C528D9">
        <w:rPr>
          <w:rFonts w:ascii="Arial" w:hAnsi="Arial" w:cs="Arial"/>
        </w:rPr>
        <w:t xml:space="preserve">to review </w:t>
      </w:r>
      <w:r w:rsidR="005A0694">
        <w:rPr>
          <w:rFonts w:ascii="Arial" w:hAnsi="Arial" w:cs="Arial"/>
        </w:rPr>
        <w:t xml:space="preserve">some of the unique aspects of personal injury law in the motor vehicle context, including Underinsured Motorist Protection as well as Part 7 benefits, and to review </w:t>
      </w:r>
      <w:r>
        <w:rPr>
          <w:rFonts w:ascii="Arial" w:hAnsi="Arial" w:cs="Arial"/>
        </w:rPr>
        <w:t xml:space="preserve">the </w:t>
      </w:r>
      <w:r w:rsidR="00953226">
        <w:rPr>
          <w:rFonts w:ascii="Arial" w:hAnsi="Arial" w:cs="Arial"/>
        </w:rPr>
        <w:t>changes happening</w:t>
      </w:r>
      <w:r w:rsidR="005A0694">
        <w:rPr>
          <w:rFonts w:ascii="Arial" w:hAnsi="Arial" w:cs="Arial"/>
        </w:rPr>
        <w:t xml:space="preserve"> in this area </w:t>
      </w:r>
      <w:r w:rsidR="00953226">
        <w:rPr>
          <w:rFonts w:ascii="Arial" w:hAnsi="Arial" w:cs="Arial"/>
        </w:rPr>
        <w:t xml:space="preserve">of practice </w:t>
      </w:r>
      <w:r w:rsidRPr="00C528D9">
        <w:rPr>
          <w:rFonts w:ascii="Arial" w:hAnsi="Arial" w:cs="Arial"/>
        </w:rPr>
        <w:t>in British Columbia</w:t>
      </w:r>
      <w:r>
        <w:rPr>
          <w:rFonts w:ascii="Arial" w:hAnsi="Arial" w:cs="Arial"/>
        </w:rPr>
        <w:t xml:space="preserve">. </w:t>
      </w:r>
    </w:p>
    <w:p w:rsidR="000A349A" w:rsidRPr="00C528D9" w:rsidRDefault="00C528D9" w:rsidP="00C528D9">
      <w:pPr>
        <w:pStyle w:val="Default"/>
        <w:numPr>
          <w:ilvl w:val="0"/>
          <w:numId w:val="20"/>
        </w:numPr>
        <w:spacing w:after="240"/>
        <w:ind w:left="1267"/>
        <w:jc w:val="both"/>
        <w:rPr>
          <w:rFonts w:ascii="Arial" w:hAnsi="Arial" w:cs="Arial"/>
        </w:rPr>
      </w:pPr>
      <w:r>
        <w:rPr>
          <w:rFonts w:ascii="Arial" w:hAnsi="Arial" w:cs="Arial"/>
        </w:rPr>
        <w:t xml:space="preserve">We will review the monumental changes </w:t>
      </w:r>
      <w:r w:rsidR="005A0694">
        <w:rPr>
          <w:rFonts w:ascii="Arial" w:hAnsi="Arial" w:cs="Arial"/>
        </w:rPr>
        <w:t>recently</w:t>
      </w:r>
      <w:r>
        <w:rPr>
          <w:rFonts w:ascii="Arial" w:hAnsi="Arial" w:cs="Arial"/>
        </w:rPr>
        <w:t xml:space="preserve"> </w:t>
      </w:r>
      <w:r w:rsidR="005A0694">
        <w:rPr>
          <w:rFonts w:ascii="Arial" w:hAnsi="Arial" w:cs="Arial"/>
        </w:rPr>
        <w:t>pursued</w:t>
      </w:r>
      <w:r>
        <w:rPr>
          <w:rFonts w:ascii="Arial" w:hAnsi="Arial" w:cs="Arial"/>
        </w:rPr>
        <w:t xml:space="preserve"> in respect of motor vehicle accident injury claims, as well as other anticipated changes that affect the substantive and procedural aspects of personal injury practice</w:t>
      </w:r>
      <w:r w:rsidR="005A0694">
        <w:rPr>
          <w:rFonts w:ascii="Arial" w:hAnsi="Arial" w:cs="Arial"/>
        </w:rPr>
        <w:t xml:space="preserve"> generally</w:t>
      </w:r>
      <w:r>
        <w:rPr>
          <w:rFonts w:ascii="Arial" w:hAnsi="Arial" w:cs="Arial"/>
        </w:rPr>
        <w:t>.</w:t>
      </w:r>
    </w:p>
    <w:p w:rsidR="00C25F6C" w:rsidRDefault="009F6E5C" w:rsidP="0015793F">
      <w:pPr>
        <w:pStyle w:val="Default"/>
        <w:numPr>
          <w:ilvl w:val="1"/>
          <w:numId w:val="1"/>
        </w:numPr>
        <w:ind w:left="810" w:hanging="810"/>
        <w:jc w:val="both"/>
        <w:rPr>
          <w:rFonts w:ascii="Arial" w:hAnsi="Arial" w:cs="Arial"/>
          <w:b/>
        </w:rPr>
      </w:pPr>
      <w:r>
        <w:rPr>
          <w:rFonts w:ascii="Arial" w:hAnsi="Arial" w:cs="Arial"/>
          <w:b/>
        </w:rPr>
        <w:t xml:space="preserve">UNDERINSURED MOTORIST PROTECTION </w:t>
      </w:r>
      <w:r w:rsidR="00C25F6C">
        <w:rPr>
          <w:rFonts w:ascii="Arial" w:hAnsi="Arial" w:cs="Arial"/>
          <w:b/>
        </w:rPr>
        <w:t>(UMP)</w:t>
      </w:r>
    </w:p>
    <w:p w:rsidR="00C25F6C" w:rsidRDefault="00C25F6C" w:rsidP="00C25F6C">
      <w:pPr>
        <w:pStyle w:val="Default"/>
        <w:ind w:left="810"/>
        <w:jc w:val="both"/>
        <w:rPr>
          <w:rFonts w:ascii="Arial" w:hAnsi="Arial" w:cs="Arial"/>
          <w:b/>
        </w:rPr>
      </w:pPr>
    </w:p>
    <w:p w:rsidR="00C25F6C" w:rsidRDefault="00C25F6C" w:rsidP="00C25F6C">
      <w:pPr>
        <w:pStyle w:val="Default"/>
        <w:numPr>
          <w:ilvl w:val="0"/>
          <w:numId w:val="23"/>
        </w:numPr>
        <w:spacing w:after="240"/>
        <w:ind w:left="1267"/>
        <w:jc w:val="both"/>
        <w:rPr>
          <w:rFonts w:ascii="Arial" w:hAnsi="Arial" w:cs="Arial"/>
        </w:rPr>
      </w:pPr>
      <w:r>
        <w:rPr>
          <w:rFonts w:ascii="Arial" w:hAnsi="Arial" w:cs="Arial"/>
        </w:rPr>
        <w:t xml:space="preserve">Everyone who purchases a policy of insurance with ICBC has mandatory UMP of up to $1,000,000 in coverage. For </w:t>
      </w:r>
      <w:r w:rsidR="005A0694">
        <w:rPr>
          <w:rFonts w:ascii="Arial" w:hAnsi="Arial" w:cs="Arial"/>
        </w:rPr>
        <w:t>a nominal premium, you can buy more coverage, either with ICBC or private umbrella insurers.</w:t>
      </w:r>
    </w:p>
    <w:p w:rsidR="00C25F6C" w:rsidRDefault="00C25F6C" w:rsidP="00C25F6C">
      <w:pPr>
        <w:pStyle w:val="Default"/>
        <w:numPr>
          <w:ilvl w:val="0"/>
          <w:numId w:val="23"/>
        </w:numPr>
        <w:spacing w:after="240"/>
        <w:ind w:left="1267"/>
        <w:jc w:val="both"/>
        <w:rPr>
          <w:rFonts w:ascii="Arial" w:hAnsi="Arial" w:cs="Arial"/>
        </w:rPr>
      </w:pPr>
      <w:r>
        <w:rPr>
          <w:rFonts w:ascii="Arial" w:hAnsi="Arial" w:cs="Arial"/>
        </w:rPr>
        <w:t>This excess insurance is available to you and all members of your household if any of you are innocently injured through the fault of another motorist who does not carry enough liability insurance.  This is because there are many motorists who purchase only the mandatory minimum in liability insurance, $200,000, or in the case of a foreign driver (Washington State, for example), they may have even less.</w:t>
      </w:r>
    </w:p>
    <w:p w:rsidR="005A0694" w:rsidRDefault="005A0694" w:rsidP="00C25F6C">
      <w:pPr>
        <w:pStyle w:val="Default"/>
        <w:numPr>
          <w:ilvl w:val="0"/>
          <w:numId w:val="23"/>
        </w:numPr>
        <w:spacing w:after="240"/>
        <w:ind w:left="1267"/>
        <w:jc w:val="both"/>
        <w:rPr>
          <w:rFonts w:ascii="Arial" w:hAnsi="Arial" w:cs="Arial"/>
        </w:rPr>
      </w:pPr>
      <w:r>
        <w:rPr>
          <w:rFonts w:ascii="Arial" w:hAnsi="Arial" w:cs="Arial"/>
        </w:rPr>
        <w:t xml:space="preserve">UMP or UIM (Uninsured Motorist) is triggered only in two ways: (a) by a judgment in excess of the </w:t>
      </w:r>
      <w:proofErr w:type="spellStart"/>
      <w:r>
        <w:rPr>
          <w:rFonts w:ascii="Arial" w:hAnsi="Arial" w:cs="Arial"/>
        </w:rPr>
        <w:t>tortfeasor’s</w:t>
      </w:r>
      <w:proofErr w:type="spellEnd"/>
      <w:r>
        <w:rPr>
          <w:rFonts w:ascii="Arial" w:hAnsi="Arial" w:cs="Arial"/>
        </w:rPr>
        <w:t xml:space="preserve"> policy limits and where the </w:t>
      </w:r>
      <w:proofErr w:type="spellStart"/>
      <w:r>
        <w:rPr>
          <w:rFonts w:ascii="Arial" w:hAnsi="Arial" w:cs="Arial"/>
        </w:rPr>
        <w:t>tortfeasor</w:t>
      </w:r>
      <w:proofErr w:type="spellEnd"/>
      <w:r>
        <w:rPr>
          <w:rFonts w:ascii="Arial" w:hAnsi="Arial" w:cs="Arial"/>
        </w:rPr>
        <w:t xml:space="preserve"> is demonstrated to have no assets, or (b) with ICBC’s consent to a policy limits settlement in the tort action.  Until either of these events, there is no determination that the </w:t>
      </w:r>
      <w:proofErr w:type="spellStart"/>
      <w:r>
        <w:rPr>
          <w:rFonts w:ascii="Arial" w:hAnsi="Arial" w:cs="Arial"/>
        </w:rPr>
        <w:t>tortfeasor</w:t>
      </w:r>
      <w:proofErr w:type="spellEnd"/>
      <w:r>
        <w:rPr>
          <w:rFonts w:ascii="Arial" w:hAnsi="Arial" w:cs="Arial"/>
        </w:rPr>
        <w:t xml:space="preserve"> is in fact “underinsured”.  </w:t>
      </w:r>
    </w:p>
    <w:p w:rsidR="005A0694" w:rsidRDefault="005A0694" w:rsidP="00C25F6C">
      <w:pPr>
        <w:pStyle w:val="Default"/>
        <w:numPr>
          <w:ilvl w:val="0"/>
          <w:numId w:val="23"/>
        </w:numPr>
        <w:spacing w:after="240"/>
        <w:ind w:left="1267"/>
        <w:jc w:val="both"/>
        <w:rPr>
          <w:rFonts w:ascii="Arial" w:hAnsi="Arial" w:cs="Arial"/>
        </w:rPr>
      </w:pPr>
      <w:r>
        <w:rPr>
          <w:rFonts w:ascii="Arial" w:hAnsi="Arial" w:cs="Arial"/>
        </w:rPr>
        <w:t xml:space="preserve">As set out by Finch, CJBC., in </w:t>
      </w:r>
      <w:r>
        <w:rPr>
          <w:rFonts w:ascii="Arial" w:hAnsi="Arial" w:cs="Arial"/>
          <w:i/>
        </w:rPr>
        <w:t xml:space="preserve">Beauchamp v. ICBC, </w:t>
      </w:r>
      <w:r>
        <w:rPr>
          <w:rFonts w:ascii="Arial" w:hAnsi="Arial" w:cs="Arial"/>
        </w:rPr>
        <w:t>2005 BCCA 507:</w:t>
      </w:r>
    </w:p>
    <w:p w:rsidR="005A0694" w:rsidRPr="005A0694" w:rsidRDefault="005A0694" w:rsidP="005A0694">
      <w:pPr>
        <w:shd w:val="clear" w:color="auto" w:fill="FFFFFF"/>
        <w:spacing w:before="100" w:beforeAutospacing="1" w:after="100" w:afterAutospacing="1"/>
        <w:ind w:left="1440" w:right="720"/>
        <w:jc w:val="both"/>
        <w:rPr>
          <w:rFonts w:ascii="Arial" w:eastAsia="Times New Roman" w:hAnsi="Arial" w:cs="Arial"/>
          <w:color w:val="333333"/>
          <w:szCs w:val="27"/>
        </w:rPr>
      </w:pPr>
      <w:r w:rsidRPr="005A0694">
        <w:rPr>
          <w:rFonts w:ascii="Arial" w:eastAsia="Times New Roman" w:hAnsi="Arial" w:cs="Arial"/>
          <w:i/>
          <w:iCs/>
          <w:color w:val="333333"/>
          <w:szCs w:val="27"/>
        </w:rPr>
        <w:t>“Arbitration is not available until it is shown that the person claiming is an “insured”, and is claiming in relation to an accident with an “underinsured” motorist”. The definition of “underinsured motorist”, set out above, contains three elements, A person falls within the definition if he or she: (1) is the owner or operator of a vehicle; (2) is legally liable for the injury or death of an Insured; and (3) is unable to pay the full amount of the Insured’s damages.</w:t>
      </w:r>
    </w:p>
    <w:p w:rsidR="005A0694" w:rsidRPr="005A0694" w:rsidRDefault="005A0694" w:rsidP="005A0694">
      <w:pPr>
        <w:shd w:val="clear" w:color="auto" w:fill="FFFFFF"/>
        <w:spacing w:before="100" w:beforeAutospacing="1" w:after="100" w:afterAutospacing="1"/>
        <w:ind w:left="1440" w:right="720"/>
        <w:jc w:val="both"/>
        <w:rPr>
          <w:rFonts w:ascii="Arial" w:eastAsia="Times New Roman" w:hAnsi="Arial" w:cs="Arial"/>
          <w:color w:val="333333"/>
          <w:szCs w:val="27"/>
        </w:rPr>
      </w:pPr>
      <w:r w:rsidRPr="005A0694">
        <w:rPr>
          <w:rFonts w:ascii="Arial" w:eastAsia="Times New Roman" w:hAnsi="Arial" w:cs="Arial"/>
          <w:i/>
          <w:iCs/>
          <w:color w:val="333333"/>
          <w:szCs w:val="27"/>
        </w:rPr>
        <w:t>Until those facts are either determined by judicial decision, or by admissions, there is no “underinsured motorist” and the arbitration provisions of the Regulations cannot be engaged.”</w:t>
      </w:r>
    </w:p>
    <w:p w:rsidR="00910A5D" w:rsidRDefault="00910A5D" w:rsidP="00C25F6C">
      <w:pPr>
        <w:pStyle w:val="Default"/>
        <w:numPr>
          <w:ilvl w:val="0"/>
          <w:numId w:val="23"/>
        </w:numPr>
        <w:spacing w:after="240"/>
        <w:ind w:left="1267"/>
        <w:jc w:val="both"/>
        <w:rPr>
          <w:rFonts w:ascii="Arial" w:hAnsi="Arial" w:cs="Arial"/>
        </w:rPr>
      </w:pPr>
      <w:r>
        <w:rPr>
          <w:rFonts w:ascii="Arial" w:hAnsi="Arial" w:cs="Arial"/>
        </w:rPr>
        <w:t xml:space="preserve">Once the UMP claim is perfected, if the value of the UMP claim cannot be resolved by way of negotiated settlement, the matter proceeds to arbitration. </w:t>
      </w:r>
    </w:p>
    <w:p w:rsidR="00C25F6C" w:rsidRDefault="00910A5D" w:rsidP="00C25F6C">
      <w:pPr>
        <w:pStyle w:val="Default"/>
        <w:numPr>
          <w:ilvl w:val="0"/>
          <w:numId w:val="23"/>
        </w:numPr>
        <w:spacing w:after="240"/>
        <w:ind w:left="1267"/>
        <w:jc w:val="both"/>
        <w:rPr>
          <w:rFonts w:ascii="Arial" w:hAnsi="Arial" w:cs="Arial"/>
        </w:rPr>
      </w:pPr>
      <w:r>
        <w:rPr>
          <w:rFonts w:ascii="Arial" w:hAnsi="Arial" w:cs="Arial"/>
        </w:rPr>
        <w:t xml:space="preserve">Procedurally, the insured claimant files a Notice to Arbitrate with the British Columbia International Commercial Arbitration Centre (BCICAC).  </w:t>
      </w:r>
    </w:p>
    <w:p w:rsidR="00910A5D" w:rsidRDefault="00910A5D" w:rsidP="00C25F6C">
      <w:pPr>
        <w:pStyle w:val="Default"/>
        <w:numPr>
          <w:ilvl w:val="0"/>
          <w:numId w:val="23"/>
        </w:numPr>
        <w:spacing w:after="240"/>
        <w:ind w:left="1267"/>
        <w:jc w:val="both"/>
        <w:rPr>
          <w:rFonts w:ascii="Arial" w:hAnsi="Arial" w:cs="Arial"/>
        </w:rPr>
      </w:pPr>
      <w:r>
        <w:rPr>
          <w:rFonts w:ascii="Arial" w:hAnsi="Arial" w:cs="Arial"/>
        </w:rPr>
        <w:t>There are various lawyers in Vancouver who act as arbitrators of UMP claims, including Donald Yule, Q.C. and Vince Orchard, Q.C.</w:t>
      </w:r>
    </w:p>
    <w:p w:rsidR="00910A5D" w:rsidRPr="00681D5D" w:rsidRDefault="00910A5D" w:rsidP="00C25F6C">
      <w:pPr>
        <w:pStyle w:val="Default"/>
        <w:numPr>
          <w:ilvl w:val="0"/>
          <w:numId w:val="23"/>
        </w:numPr>
        <w:spacing w:after="240"/>
        <w:ind w:left="1267"/>
        <w:jc w:val="both"/>
        <w:rPr>
          <w:rFonts w:ascii="Arial" w:hAnsi="Arial" w:cs="Arial"/>
          <w:sz w:val="22"/>
        </w:rPr>
      </w:pPr>
      <w:r w:rsidRPr="00910A5D">
        <w:rPr>
          <w:rFonts w:ascii="Arial" w:hAnsi="Arial" w:cs="Arial"/>
          <w:color w:val="272424"/>
          <w:szCs w:val="25"/>
          <w:shd w:val="clear" w:color="auto" w:fill="FFFFFF"/>
        </w:rPr>
        <w:t>Sections </w:t>
      </w:r>
      <w:hyperlink r:id="rId7" w:anchor="part10_division2" w:history="1">
        <w:r w:rsidRPr="00910A5D">
          <w:rPr>
            <w:rStyle w:val="Hyperlink"/>
            <w:rFonts w:ascii="Arial" w:hAnsi="Arial" w:cs="Arial"/>
            <w:color w:val="496DF1"/>
            <w:szCs w:val="25"/>
            <w:shd w:val="clear" w:color="auto" w:fill="FFFFFF"/>
          </w:rPr>
          <w:t xml:space="preserve">148.1 – 148.4 of the </w:t>
        </w:r>
        <w:r w:rsidRPr="00C9033B">
          <w:rPr>
            <w:rStyle w:val="Hyperlink"/>
            <w:rFonts w:ascii="Arial" w:hAnsi="Arial" w:cs="Arial"/>
            <w:i/>
            <w:color w:val="496DF1"/>
            <w:szCs w:val="25"/>
            <w:shd w:val="clear" w:color="auto" w:fill="FFFFFF"/>
          </w:rPr>
          <w:t>Insurance (Vehicle) Regulation</w:t>
        </w:r>
      </w:hyperlink>
      <w:r w:rsidRPr="00910A5D">
        <w:rPr>
          <w:rFonts w:ascii="Arial" w:hAnsi="Arial" w:cs="Arial"/>
          <w:color w:val="272424"/>
          <w:szCs w:val="25"/>
          <w:shd w:val="clear" w:color="auto" w:fill="FFFFFF"/>
        </w:rPr>
        <w:t> address UMP Claims.  </w:t>
      </w:r>
    </w:p>
    <w:p w:rsidR="00681D5D" w:rsidRPr="00910A5D" w:rsidRDefault="00681D5D" w:rsidP="00C25F6C">
      <w:pPr>
        <w:pStyle w:val="Default"/>
        <w:numPr>
          <w:ilvl w:val="0"/>
          <w:numId w:val="23"/>
        </w:numPr>
        <w:spacing w:after="240"/>
        <w:ind w:left="1267"/>
        <w:jc w:val="both"/>
        <w:rPr>
          <w:rFonts w:ascii="Arial" w:hAnsi="Arial" w:cs="Arial"/>
          <w:sz w:val="22"/>
        </w:rPr>
      </w:pPr>
      <w:r>
        <w:rPr>
          <w:rFonts w:ascii="Arial" w:hAnsi="Arial" w:cs="Arial"/>
          <w:color w:val="272424"/>
          <w:szCs w:val="25"/>
          <w:shd w:val="clear" w:color="auto" w:fill="FFFFFF"/>
        </w:rPr>
        <w:t xml:space="preserve">Various deductions apply to an UMP claim, including the payout of the tort claim: </w:t>
      </w:r>
    </w:p>
    <w:p w:rsidR="00681D5D" w:rsidRPr="00681D5D" w:rsidRDefault="00681D5D" w:rsidP="00681D5D">
      <w:pPr>
        <w:pStyle w:val="def"/>
        <w:shd w:val="clear" w:color="auto" w:fill="FFFFFF"/>
        <w:spacing w:before="168" w:beforeAutospacing="0" w:after="168" w:afterAutospacing="0" w:line="360" w:lineRule="atLeast"/>
        <w:ind w:left="1440"/>
        <w:rPr>
          <w:rFonts w:ascii="Arial" w:hAnsi="Arial" w:cs="Arial"/>
          <w:color w:val="000000"/>
          <w:sz w:val="22"/>
          <w:szCs w:val="22"/>
        </w:rPr>
      </w:pPr>
      <w:r w:rsidRPr="00681D5D">
        <w:rPr>
          <w:rStyle w:val="double-quotes"/>
          <w:rFonts w:ascii="Arial" w:hAnsi="Arial" w:cs="Arial"/>
          <w:color w:val="000000"/>
          <w:sz w:val="22"/>
          <w:szCs w:val="22"/>
        </w:rPr>
        <w:t>"</w:t>
      </w:r>
      <w:r w:rsidRPr="00681D5D">
        <w:rPr>
          <w:rStyle w:val="normal-bold-style"/>
          <w:rFonts w:ascii="Arial" w:hAnsi="Arial" w:cs="Arial"/>
          <w:color w:val="000000"/>
          <w:sz w:val="22"/>
          <w:szCs w:val="22"/>
        </w:rPr>
        <w:t>deductible amount</w:t>
      </w:r>
      <w:r w:rsidRPr="00681D5D">
        <w:rPr>
          <w:rStyle w:val="double-quotes"/>
          <w:rFonts w:ascii="Arial" w:hAnsi="Arial" w:cs="Arial"/>
          <w:color w:val="000000"/>
          <w:sz w:val="22"/>
          <w:szCs w:val="22"/>
        </w:rPr>
        <w:t>"</w:t>
      </w:r>
      <w:r w:rsidRPr="00681D5D">
        <w:rPr>
          <w:rFonts w:ascii="Arial" w:hAnsi="Arial" w:cs="Arial"/>
          <w:color w:val="000000"/>
          <w:sz w:val="22"/>
          <w:szCs w:val="22"/>
        </w:rPr>
        <w:t> means an amount</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0" w:name="d2e8047"/>
      <w:bookmarkEnd w:id="0"/>
      <w:r w:rsidRPr="00681D5D">
        <w:rPr>
          <w:rStyle w:val="holder"/>
          <w:rFonts w:ascii="Arial" w:hAnsi="Arial" w:cs="Arial"/>
          <w:color w:val="000000"/>
          <w:sz w:val="22"/>
          <w:szCs w:val="22"/>
        </w:rPr>
        <w:t>(a)</w:t>
      </w:r>
      <w:r>
        <w:rPr>
          <w:rStyle w:val="holder"/>
          <w:rFonts w:ascii="Arial" w:hAnsi="Arial" w:cs="Arial"/>
          <w:color w:val="000000"/>
          <w:sz w:val="22"/>
          <w:szCs w:val="22"/>
        </w:rPr>
        <w:t xml:space="preserve"> </w:t>
      </w:r>
      <w:r w:rsidRPr="00681D5D">
        <w:rPr>
          <w:rFonts w:ascii="Arial" w:hAnsi="Arial" w:cs="Arial"/>
          <w:color w:val="000000"/>
          <w:sz w:val="22"/>
          <w:szCs w:val="22"/>
        </w:rPr>
        <w:t>paid or payable by the corporation under section 20 or 24 of the Act, or recoverable by the insured from a similar fund in the jurisdiction in which the accident occurs</w:t>
      </w:r>
      <w:r>
        <w:rPr>
          <w:rFonts w:ascii="Arial" w:hAnsi="Arial" w:cs="Arial"/>
          <w:color w:val="000000"/>
          <w:sz w:val="22"/>
          <w:szCs w:val="22"/>
        </w:rPr>
        <w:t xml:space="preserve"> [i.e. the statutory payment payable by ICBC for a hit and run or a wholly uninsured claim]</w:t>
      </w:r>
      <w:r w:rsidRPr="00681D5D">
        <w:rPr>
          <w:rFonts w:ascii="Arial" w:hAnsi="Arial" w:cs="Arial"/>
          <w:color w:val="000000"/>
          <w:sz w:val="22"/>
          <w:szCs w:val="22"/>
        </w:rPr>
        <w:t>,</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1" w:name="d2e8056"/>
      <w:bookmarkEnd w:id="1"/>
      <w:r w:rsidRPr="00681D5D">
        <w:rPr>
          <w:rStyle w:val="holder"/>
          <w:rFonts w:ascii="Arial" w:hAnsi="Arial" w:cs="Arial"/>
          <w:color w:val="000000"/>
          <w:sz w:val="22"/>
          <w:szCs w:val="22"/>
        </w:rPr>
        <w:t>(b)</w:t>
      </w:r>
      <w:r>
        <w:rPr>
          <w:rStyle w:val="holder"/>
          <w:rFonts w:ascii="Arial" w:hAnsi="Arial" w:cs="Arial"/>
          <w:color w:val="000000"/>
          <w:sz w:val="22"/>
          <w:szCs w:val="22"/>
        </w:rPr>
        <w:t xml:space="preserve"> </w:t>
      </w:r>
      <w:r w:rsidRPr="00681D5D">
        <w:rPr>
          <w:rFonts w:ascii="Arial" w:hAnsi="Arial" w:cs="Arial"/>
          <w:color w:val="000000"/>
          <w:sz w:val="22"/>
          <w:szCs w:val="22"/>
        </w:rPr>
        <w:t>paid or payable under section 148</w:t>
      </w:r>
      <w:r>
        <w:rPr>
          <w:rFonts w:ascii="Arial" w:hAnsi="Arial" w:cs="Arial"/>
          <w:color w:val="000000"/>
          <w:sz w:val="22"/>
          <w:szCs w:val="22"/>
        </w:rPr>
        <w:t xml:space="preserve"> [the statutory payment of $200,000 for uninsured </w:t>
      </w:r>
      <w:proofErr w:type="spellStart"/>
      <w:r>
        <w:rPr>
          <w:rFonts w:ascii="Arial" w:hAnsi="Arial" w:cs="Arial"/>
          <w:color w:val="000000"/>
          <w:sz w:val="22"/>
          <w:szCs w:val="22"/>
        </w:rPr>
        <w:t>tortfeasors</w:t>
      </w:r>
      <w:proofErr w:type="spellEnd"/>
      <w:r>
        <w:rPr>
          <w:rFonts w:ascii="Arial" w:hAnsi="Arial" w:cs="Arial"/>
          <w:color w:val="000000"/>
          <w:sz w:val="22"/>
          <w:szCs w:val="22"/>
        </w:rPr>
        <w:t xml:space="preserve"> or hit and runs in the U.S., or the territories]</w:t>
      </w:r>
      <w:r w:rsidRPr="00681D5D">
        <w:rPr>
          <w:rFonts w:ascii="Arial" w:hAnsi="Arial" w:cs="Arial"/>
          <w:color w:val="000000"/>
          <w:sz w:val="22"/>
          <w:szCs w:val="22"/>
        </w:rPr>
        <w:t>,</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2" w:name="d2e8065"/>
      <w:bookmarkEnd w:id="2"/>
      <w:r w:rsidRPr="00681D5D">
        <w:rPr>
          <w:rStyle w:val="holder"/>
          <w:rFonts w:ascii="Arial" w:hAnsi="Arial" w:cs="Arial"/>
          <w:color w:val="000000"/>
          <w:sz w:val="22"/>
          <w:szCs w:val="22"/>
        </w:rPr>
        <w:t>(c)</w:t>
      </w:r>
      <w:r>
        <w:rPr>
          <w:rStyle w:val="holder"/>
          <w:rFonts w:ascii="Arial" w:hAnsi="Arial" w:cs="Arial"/>
          <w:color w:val="000000"/>
          <w:sz w:val="22"/>
          <w:szCs w:val="22"/>
        </w:rPr>
        <w:t xml:space="preserve"> </w:t>
      </w:r>
      <w:r w:rsidRPr="00681D5D">
        <w:rPr>
          <w:rFonts w:ascii="Arial" w:hAnsi="Arial" w:cs="Arial"/>
          <w:color w:val="000000"/>
          <w:sz w:val="22"/>
          <w:szCs w:val="22"/>
        </w:rPr>
        <w:t>paid or payable under Part 7 or under legislation of another jurisdiction that provides compensation similar to benefits</w:t>
      </w:r>
      <w:r>
        <w:rPr>
          <w:rFonts w:ascii="Arial" w:hAnsi="Arial" w:cs="Arial"/>
          <w:color w:val="000000"/>
          <w:sz w:val="22"/>
          <w:szCs w:val="22"/>
        </w:rPr>
        <w:t xml:space="preserve"> [treatment benefits paid and payable are deducted]</w:t>
      </w:r>
      <w:r w:rsidRPr="00681D5D">
        <w:rPr>
          <w:rFonts w:ascii="Arial" w:hAnsi="Arial" w:cs="Arial"/>
          <w:color w:val="000000"/>
          <w:sz w:val="22"/>
          <w:szCs w:val="22"/>
        </w:rPr>
        <w:t>,</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3" w:name="d2e8074"/>
      <w:bookmarkEnd w:id="3"/>
      <w:r w:rsidRPr="00681D5D">
        <w:rPr>
          <w:rStyle w:val="holder"/>
          <w:rFonts w:ascii="Arial" w:hAnsi="Arial" w:cs="Arial"/>
          <w:color w:val="000000"/>
          <w:sz w:val="22"/>
          <w:szCs w:val="22"/>
        </w:rPr>
        <w:t>(d)</w:t>
      </w:r>
      <w:r>
        <w:rPr>
          <w:rStyle w:val="holder"/>
          <w:rFonts w:ascii="Arial" w:hAnsi="Arial" w:cs="Arial"/>
          <w:color w:val="000000"/>
          <w:sz w:val="22"/>
          <w:szCs w:val="22"/>
        </w:rPr>
        <w:t xml:space="preserve"> </w:t>
      </w:r>
      <w:r w:rsidRPr="00681D5D">
        <w:rPr>
          <w:rFonts w:ascii="Arial" w:hAnsi="Arial" w:cs="Arial"/>
          <w:color w:val="000000"/>
          <w:sz w:val="22"/>
          <w:szCs w:val="22"/>
        </w:rPr>
        <w:t>paid directly by the underinsured motorist as damages</w:t>
      </w:r>
      <w:r>
        <w:rPr>
          <w:rFonts w:ascii="Arial" w:hAnsi="Arial" w:cs="Arial"/>
          <w:color w:val="000000"/>
          <w:sz w:val="22"/>
          <w:szCs w:val="22"/>
        </w:rPr>
        <w:t xml:space="preserve"> [i.e. the </w:t>
      </w:r>
      <w:proofErr w:type="spellStart"/>
      <w:r>
        <w:rPr>
          <w:rFonts w:ascii="Arial" w:hAnsi="Arial" w:cs="Arial"/>
          <w:color w:val="000000"/>
          <w:sz w:val="22"/>
          <w:szCs w:val="22"/>
        </w:rPr>
        <w:t>tortfeasor’s</w:t>
      </w:r>
      <w:proofErr w:type="spellEnd"/>
      <w:r>
        <w:rPr>
          <w:rFonts w:ascii="Arial" w:hAnsi="Arial" w:cs="Arial"/>
          <w:color w:val="000000"/>
          <w:sz w:val="22"/>
          <w:szCs w:val="22"/>
        </w:rPr>
        <w:t xml:space="preserve"> policy limits payout is deducted]</w:t>
      </w:r>
      <w:r w:rsidRPr="00681D5D">
        <w:rPr>
          <w:rFonts w:ascii="Arial" w:hAnsi="Arial" w:cs="Arial"/>
          <w:color w:val="000000"/>
          <w:sz w:val="22"/>
          <w:szCs w:val="22"/>
        </w:rPr>
        <w:t>,</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4" w:name="d2e8084"/>
      <w:bookmarkEnd w:id="4"/>
      <w:r w:rsidRPr="00681D5D">
        <w:rPr>
          <w:rStyle w:val="holder"/>
          <w:rFonts w:ascii="Arial" w:hAnsi="Arial" w:cs="Arial"/>
          <w:color w:val="000000"/>
          <w:sz w:val="22"/>
          <w:szCs w:val="22"/>
        </w:rPr>
        <w:t>(e)</w:t>
      </w:r>
      <w:r>
        <w:rPr>
          <w:rStyle w:val="holder"/>
          <w:rFonts w:ascii="Arial" w:hAnsi="Arial" w:cs="Arial"/>
          <w:color w:val="000000"/>
          <w:sz w:val="22"/>
          <w:szCs w:val="22"/>
        </w:rPr>
        <w:t xml:space="preserve"> </w:t>
      </w:r>
      <w:r w:rsidRPr="00681D5D">
        <w:rPr>
          <w:rFonts w:ascii="Arial" w:hAnsi="Arial" w:cs="Arial"/>
          <w:color w:val="000000"/>
          <w:sz w:val="22"/>
          <w:szCs w:val="22"/>
        </w:rPr>
        <w:t>paid or payable from a cash deposit or bond given in place of proof of financial responsibility,</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5" w:name="d2e8093"/>
      <w:bookmarkEnd w:id="5"/>
      <w:r w:rsidRPr="00681D5D">
        <w:rPr>
          <w:rStyle w:val="holder"/>
          <w:rFonts w:ascii="Arial" w:hAnsi="Arial" w:cs="Arial"/>
          <w:color w:val="000000"/>
          <w:sz w:val="22"/>
          <w:szCs w:val="22"/>
        </w:rPr>
        <w:t>(f)</w:t>
      </w:r>
      <w:r>
        <w:rPr>
          <w:rStyle w:val="holder"/>
          <w:rFonts w:ascii="Arial" w:hAnsi="Arial" w:cs="Arial"/>
          <w:color w:val="000000"/>
          <w:sz w:val="22"/>
          <w:szCs w:val="22"/>
        </w:rPr>
        <w:t xml:space="preserve"> </w:t>
      </w:r>
      <w:r w:rsidRPr="00681D5D">
        <w:rPr>
          <w:rFonts w:ascii="Arial" w:hAnsi="Arial" w:cs="Arial"/>
          <w:color w:val="000000"/>
          <w:sz w:val="22"/>
          <w:szCs w:val="22"/>
        </w:rPr>
        <w:t>to which the insured is entitled under the </w:t>
      </w:r>
      <w:hyperlink r:id="rId8" w:history="1">
        <w:r w:rsidRPr="00681D5D">
          <w:rPr>
            <w:rStyle w:val="Emphasis"/>
            <w:rFonts w:ascii="Arial" w:hAnsi="Arial" w:cs="Arial"/>
            <w:color w:val="0033CC"/>
            <w:sz w:val="22"/>
            <w:szCs w:val="22"/>
          </w:rPr>
          <w:t>Workers Compensation Act</w:t>
        </w:r>
      </w:hyperlink>
      <w:r w:rsidRPr="00681D5D">
        <w:rPr>
          <w:rFonts w:ascii="Arial" w:hAnsi="Arial" w:cs="Arial"/>
          <w:color w:val="000000"/>
          <w:sz w:val="22"/>
          <w:szCs w:val="22"/>
        </w:rPr>
        <w:t> or a similar law of the jurisdiction in which the accident occurs, unless</w:t>
      </w:r>
    </w:p>
    <w:p w:rsidR="00681D5D" w:rsidRPr="00681D5D" w:rsidRDefault="00681D5D" w:rsidP="00681D5D">
      <w:pPr>
        <w:pStyle w:val="subpara"/>
        <w:shd w:val="clear" w:color="auto" w:fill="FFFFFF"/>
        <w:spacing w:before="0" w:beforeAutospacing="0" w:after="0" w:afterAutospacing="0" w:line="360" w:lineRule="atLeast"/>
        <w:ind w:left="2160"/>
        <w:rPr>
          <w:rFonts w:ascii="Arial" w:hAnsi="Arial" w:cs="Arial"/>
          <w:color w:val="000000"/>
          <w:sz w:val="22"/>
          <w:szCs w:val="22"/>
        </w:rPr>
      </w:pPr>
      <w:bookmarkStart w:id="6" w:name="d2e8105"/>
      <w:bookmarkEnd w:id="6"/>
      <w:r w:rsidRPr="00681D5D">
        <w:rPr>
          <w:rStyle w:val="holder"/>
          <w:rFonts w:ascii="Arial" w:hAnsi="Arial" w:cs="Arial"/>
          <w:color w:val="000000"/>
          <w:sz w:val="22"/>
          <w:szCs w:val="22"/>
        </w:rPr>
        <w:t>(</w:t>
      </w:r>
      <w:proofErr w:type="spellStart"/>
      <w:r w:rsidRPr="00681D5D">
        <w:rPr>
          <w:rStyle w:val="holder"/>
          <w:rFonts w:ascii="Arial" w:hAnsi="Arial" w:cs="Arial"/>
          <w:color w:val="000000"/>
          <w:sz w:val="22"/>
          <w:szCs w:val="22"/>
        </w:rPr>
        <w:t>i</w:t>
      </w:r>
      <w:proofErr w:type="spellEnd"/>
      <w:r w:rsidRPr="00681D5D">
        <w:rPr>
          <w:rStyle w:val="holder"/>
          <w:rFonts w:ascii="Arial" w:hAnsi="Arial" w:cs="Arial"/>
          <w:color w:val="000000"/>
          <w:sz w:val="22"/>
          <w:szCs w:val="22"/>
        </w:rPr>
        <w:t>)</w:t>
      </w:r>
      <w:r>
        <w:rPr>
          <w:rStyle w:val="holder"/>
          <w:rFonts w:ascii="Arial" w:hAnsi="Arial" w:cs="Arial"/>
          <w:color w:val="000000"/>
          <w:sz w:val="22"/>
          <w:szCs w:val="22"/>
        </w:rPr>
        <w:t xml:space="preserve"> </w:t>
      </w:r>
      <w:r w:rsidRPr="00681D5D">
        <w:rPr>
          <w:rFonts w:ascii="Arial" w:hAnsi="Arial" w:cs="Arial"/>
          <w:color w:val="000000"/>
          <w:sz w:val="22"/>
          <w:szCs w:val="22"/>
        </w:rPr>
        <w:t>the insured elects not to claim compensation under section 10 (2) of the </w:t>
      </w:r>
      <w:hyperlink r:id="rId9" w:history="1">
        <w:r w:rsidRPr="00681D5D">
          <w:rPr>
            <w:rStyle w:val="Emphasis"/>
            <w:rFonts w:ascii="Arial" w:hAnsi="Arial" w:cs="Arial"/>
            <w:color w:val="0033CC"/>
            <w:sz w:val="22"/>
            <w:szCs w:val="22"/>
          </w:rPr>
          <w:t>Workers Compensation Act</w:t>
        </w:r>
      </w:hyperlink>
      <w:r w:rsidRPr="00681D5D">
        <w:rPr>
          <w:rFonts w:ascii="Arial" w:hAnsi="Arial" w:cs="Arial"/>
          <w:color w:val="000000"/>
          <w:sz w:val="22"/>
          <w:szCs w:val="22"/>
        </w:rPr>
        <w:t> and the insured is not entitled to compensation under section 10 (5) of that Act, or</w:t>
      </w:r>
    </w:p>
    <w:p w:rsidR="00681D5D" w:rsidRPr="00681D5D" w:rsidRDefault="00681D5D" w:rsidP="00681D5D">
      <w:pPr>
        <w:pStyle w:val="subpara"/>
        <w:shd w:val="clear" w:color="auto" w:fill="FFFFFF"/>
        <w:spacing w:before="0" w:beforeAutospacing="0" w:after="0" w:afterAutospacing="0" w:line="360" w:lineRule="atLeast"/>
        <w:ind w:left="2160"/>
        <w:rPr>
          <w:rFonts w:ascii="Arial" w:hAnsi="Arial" w:cs="Arial"/>
          <w:color w:val="000000"/>
          <w:sz w:val="22"/>
          <w:szCs w:val="22"/>
        </w:rPr>
      </w:pPr>
      <w:bookmarkStart w:id="7" w:name="d2e8117"/>
      <w:bookmarkEnd w:id="7"/>
      <w:r w:rsidRPr="00681D5D">
        <w:rPr>
          <w:rStyle w:val="holder"/>
          <w:rFonts w:ascii="Arial" w:hAnsi="Arial" w:cs="Arial"/>
          <w:color w:val="000000"/>
          <w:sz w:val="22"/>
          <w:szCs w:val="22"/>
        </w:rPr>
        <w:t>(ii)</w:t>
      </w:r>
      <w:r>
        <w:rPr>
          <w:rStyle w:val="holder"/>
          <w:rFonts w:ascii="Arial" w:hAnsi="Arial" w:cs="Arial"/>
          <w:color w:val="000000"/>
          <w:sz w:val="22"/>
          <w:szCs w:val="22"/>
        </w:rPr>
        <w:t xml:space="preserve"> </w:t>
      </w:r>
      <w:r w:rsidRPr="00681D5D">
        <w:rPr>
          <w:rFonts w:ascii="Arial" w:hAnsi="Arial" w:cs="Arial"/>
          <w:color w:val="000000"/>
          <w:sz w:val="22"/>
          <w:szCs w:val="22"/>
        </w:rPr>
        <w:t>the Workers' Compensation Board pursues its right of subrogation under section 10 (6) of the </w:t>
      </w:r>
      <w:hyperlink r:id="rId10" w:history="1">
        <w:r w:rsidRPr="00681D5D">
          <w:rPr>
            <w:rStyle w:val="Emphasis"/>
            <w:rFonts w:ascii="Arial" w:hAnsi="Arial" w:cs="Arial"/>
            <w:color w:val="0033CC"/>
            <w:sz w:val="22"/>
            <w:szCs w:val="22"/>
          </w:rPr>
          <w:t>Workers Compensation Act</w:t>
        </w:r>
      </w:hyperlink>
      <w:r w:rsidRPr="00681D5D">
        <w:rPr>
          <w:rFonts w:ascii="Arial" w:hAnsi="Arial" w:cs="Arial"/>
          <w:color w:val="000000"/>
          <w:sz w:val="22"/>
          <w:szCs w:val="22"/>
        </w:rPr>
        <w:t>,</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8" w:name="d2e8129"/>
      <w:bookmarkEnd w:id="8"/>
      <w:r w:rsidRPr="00681D5D">
        <w:rPr>
          <w:rStyle w:val="holder"/>
          <w:rFonts w:ascii="Arial" w:hAnsi="Arial" w:cs="Arial"/>
          <w:color w:val="000000"/>
          <w:sz w:val="22"/>
          <w:szCs w:val="22"/>
        </w:rPr>
        <w:t>(f.1)</w:t>
      </w:r>
      <w:r>
        <w:rPr>
          <w:rStyle w:val="holder"/>
          <w:rFonts w:ascii="Arial" w:hAnsi="Arial" w:cs="Arial"/>
          <w:color w:val="000000"/>
          <w:sz w:val="22"/>
          <w:szCs w:val="22"/>
        </w:rPr>
        <w:t xml:space="preserve"> </w:t>
      </w:r>
      <w:r w:rsidRPr="00681D5D">
        <w:rPr>
          <w:rFonts w:ascii="Arial" w:hAnsi="Arial" w:cs="Arial"/>
          <w:color w:val="000000"/>
          <w:sz w:val="22"/>
          <w:szCs w:val="22"/>
        </w:rPr>
        <w:t>to which the insured is entitled under the </w:t>
      </w:r>
      <w:r w:rsidRPr="00681D5D">
        <w:rPr>
          <w:rStyle w:val="Emphasis"/>
          <w:rFonts w:ascii="Arial" w:hAnsi="Arial" w:cs="Arial"/>
          <w:color w:val="000000"/>
          <w:sz w:val="22"/>
          <w:szCs w:val="22"/>
        </w:rPr>
        <w:t>Employment Insurance Act</w:t>
      </w:r>
      <w:r w:rsidRPr="00681D5D">
        <w:rPr>
          <w:rFonts w:ascii="Arial" w:hAnsi="Arial" w:cs="Arial"/>
          <w:color w:val="000000"/>
          <w:sz w:val="22"/>
          <w:szCs w:val="22"/>
        </w:rPr>
        <w:t> (Canada),</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9" w:name="d2e8141"/>
      <w:bookmarkEnd w:id="9"/>
      <w:r w:rsidRPr="00681D5D">
        <w:rPr>
          <w:rStyle w:val="holder"/>
          <w:rFonts w:ascii="Arial" w:hAnsi="Arial" w:cs="Arial"/>
          <w:color w:val="000000"/>
          <w:sz w:val="22"/>
          <w:szCs w:val="22"/>
        </w:rPr>
        <w:t>(f.2)</w:t>
      </w:r>
      <w:r>
        <w:rPr>
          <w:rStyle w:val="holder"/>
          <w:rFonts w:ascii="Arial" w:hAnsi="Arial" w:cs="Arial"/>
          <w:color w:val="000000"/>
          <w:sz w:val="22"/>
          <w:szCs w:val="22"/>
        </w:rPr>
        <w:t xml:space="preserve"> </w:t>
      </w:r>
      <w:r w:rsidRPr="00681D5D">
        <w:rPr>
          <w:rFonts w:ascii="Arial" w:hAnsi="Arial" w:cs="Arial"/>
          <w:color w:val="000000"/>
          <w:sz w:val="22"/>
          <w:szCs w:val="22"/>
        </w:rPr>
        <w:t>to which the insured is entitled under the Canada Pension Plan</w:t>
      </w:r>
      <w:r>
        <w:rPr>
          <w:rFonts w:ascii="Arial" w:hAnsi="Arial" w:cs="Arial"/>
          <w:color w:val="000000"/>
          <w:sz w:val="22"/>
          <w:szCs w:val="22"/>
        </w:rPr>
        <w:t xml:space="preserve"> [CPP Disability benefits, if the claimant qualifies, are deductible]</w:t>
      </w:r>
      <w:r w:rsidRPr="00681D5D">
        <w:rPr>
          <w:rFonts w:ascii="Arial" w:hAnsi="Arial" w:cs="Arial"/>
          <w:color w:val="000000"/>
          <w:sz w:val="22"/>
          <w:szCs w:val="22"/>
        </w:rPr>
        <w:t>,</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10" w:name="d2e8151"/>
      <w:bookmarkEnd w:id="10"/>
      <w:r w:rsidRPr="00681D5D">
        <w:rPr>
          <w:rStyle w:val="holder"/>
          <w:rFonts w:ascii="Arial" w:hAnsi="Arial" w:cs="Arial"/>
          <w:color w:val="000000"/>
          <w:sz w:val="22"/>
          <w:szCs w:val="22"/>
        </w:rPr>
        <w:t>(g)</w:t>
      </w:r>
      <w:r>
        <w:rPr>
          <w:rStyle w:val="holder"/>
          <w:rFonts w:ascii="Arial" w:hAnsi="Arial" w:cs="Arial"/>
          <w:color w:val="000000"/>
          <w:sz w:val="22"/>
          <w:szCs w:val="22"/>
        </w:rPr>
        <w:t xml:space="preserve"> </w:t>
      </w:r>
      <w:r w:rsidRPr="00681D5D">
        <w:rPr>
          <w:rFonts w:ascii="Arial" w:hAnsi="Arial" w:cs="Arial"/>
          <w:color w:val="000000"/>
          <w:sz w:val="22"/>
          <w:szCs w:val="22"/>
        </w:rPr>
        <w:t>paid or payable to the insured under a certificate, policy or plan of insurance providing third party legal liability indemnity to the underinsured motorist,</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11" w:name="d2e8160"/>
      <w:bookmarkEnd w:id="11"/>
      <w:r w:rsidRPr="00681D5D">
        <w:rPr>
          <w:rStyle w:val="holder"/>
          <w:rFonts w:ascii="Arial" w:hAnsi="Arial" w:cs="Arial"/>
          <w:color w:val="000000"/>
          <w:sz w:val="22"/>
          <w:szCs w:val="22"/>
        </w:rPr>
        <w:t>(h)</w:t>
      </w:r>
      <w:r>
        <w:rPr>
          <w:rStyle w:val="holder"/>
          <w:rFonts w:ascii="Arial" w:hAnsi="Arial" w:cs="Arial"/>
          <w:color w:val="000000"/>
          <w:sz w:val="22"/>
          <w:szCs w:val="22"/>
        </w:rPr>
        <w:t xml:space="preserve"> </w:t>
      </w:r>
      <w:r w:rsidRPr="00681D5D">
        <w:rPr>
          <w:rFonts w:ascii="Arial" w:hAnsi="Arial" w:cs="Arial"/>
          <w:color w:val="000000"/>
          <w:sz w:val="22"/>
          <w:szCs w:val="22"/>
        </w:rPr>
        <w:t>paid or payable under vehicle insurance, wherever issued and in effect, providing underinsured motorist protection for the same occurrence for which underinsured motorist protection is provided under this section,</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12" w:name="d2e8169"/>
      <w:bookmarkEnd w:id="12"/>
      <w:r w:rsidRPr="00681D5D">
        <w:rPr>
          <w:rStyle w:val="holder"/>
          <w:rFonts w:ascii="Arial" w:hAnsi="Arial" w:cs="Arial"/>
          <w:color w:val="000000"/>
          <w:sz w:val="22"/>
          <w:szCs w:val="22"/>
        </w:rPr>
        <w:t>(</w:t>
      </w:r>
      <w:proofErr w:type="spellStart"/>
      <w:r w:rsidRPr="00681D5D">
        <w:rPr>
          <w:rStyle w:val="holder"/>
          <w:rFonts w:ascii="Arial" w:hAnsi="Arial" w:cs="Arial"/>
          <w:color w:val="000000"/>
          <w:sz w:val="22"/>
          <w:szCs w:val="22"/>
        </w:rPr>
        <w:t>i</w:t>
      </w:r>
      <w:proofErr w:type="spellEnd"/>
      <w:r w:rsidRPr="00681D5D">
        <w:rPr>
          <w:rStyle w:val="holder"/>
          <w:rFonts w:ascii="Arial" w:hAnsi="Arial" w:cs="Arial"/>
          <w:color w:val="000000"/>
          <w:sz w:val="22"/>
          <w:szCs w:val="22"/>
        </w:rPr>
        <w:t>)</w:t>
      </w:r>
      <w:r>
        <w:rPr>
          <w:rStyle w:val="holder"/>
          <w:rFonts w:ascii="Arial" w:hAnsi="Arial" w:cs="Arial"/>
          <w:color w:val="000000"/>
          <w:sz w:val="22"/>
          <w:szCs w:val="22"/>
        </w:rPr>
        <w:t xml:space="preserve"> </w:t>
      </w:r>
      <w:r w:rsidRPr="00681D5D">
        <w:rPr>
          <w:rFonts w:ascii="Arial" w:hAnsi="Arial" w:cs="Arial"/>
          <w:color w:val="000000"/>
          <w:sz w:val="22"/>
          <w:szCs w:val="22"/>
        </w:rPr>
        <w:t>paid or payable to the insured under any benefit or right or claim to indemnity, or</w:t>
      </w:r>
    </w:p>
    <w:p w:rsidR="00910A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bookmarkStart w:id="13" w:name="d2e8178"/>
      <w:bookmarkEnd w:id="13"/>
      <w:r w:rsidRPr="00681D5D">
        <w:rPr>
          <w:rStyle w:val="holder"/>
          <w:rFonts w:ascii="Arial" w:hAnsi="Arial" w:cs="Arial"/>
          <w:color w:val="000000"/>
          <w:sz w:val="22"/>
          <w:szCs w:val="22"/>
        </w:rPr>
        <w:t>(j)</w:t>
      </w:r>
      <w:r>
        <w:rPr>
          <w:rStyle w:val="holder"/>
          <w:rFonts w:ascii="Arial" w:hAnsi="Arial" w:cs="Arial"/>
          <w:color w:val="000000"/>
          <w:sz w:val="22"/>
          <w:szCs w:val="22"/>
        </w:rPr>
        <w:t xml:space="preserve"> </w:t>
      </w:r>
      <w:r w:rsidRPr="00681D5D">
        <w:rPr>
          <w:rFonts w:ascii="Arial" w:hAnsi="Arial" w:cs="Arial"/>
          <w:color w:val="000000"/>
          <w:sz w:val="22"/>
          <w:szCs w:val="22"/>
        </w:rPr>
        <w:t>paid or able to be paid by any other person who is legally liable for the insured's damages</w:t>
      </w:r>
      <w:r>
        <w:rPr>
          <w:rFonts w:ascii="Arial" w:hAnsi="Arial" w:cs="Arial"/>
          <w:color w:val="000000"/>
          <w:sz w:val="22"/>
          <w:szCs w:val="22"/>
        </w:rPr>
        <w:t xml:space="preserve"> [i.e. a </w:t>
      </w:r>
      <w:proofErr w:type="spellStart"/>
      <w:r>
        <w:rPr>
          <w:rFonts w:ascii="Arial" w:hAnsi="Arial" w:cs="Arial"/>
          <w:color w:val="000000"/>
          <w:sz w:val="22"/>
          <w:szCs w:val="22"/>
        </w:rPr>
        <w:t>tortfeasor</w:t>
      </w:r>
      <w:proofErr w:type="spellEnd"/>
      <w:r>
        <w:rPr>
          <w:rFonts w:ascii="Arial" w:hAnsi="Arial" w:cs="Arial"/>
          <w:color w:val="000000"/>
          <w:sz w:val="22"/>
          <w:szCs w:val="22"/>
        </w:rPr>
        <w:t xml:space="preserve"> who has assets]</w:t>
      </w:r>
      <w:r w:rsidRPr="00681D5D">
        <w:rPr>
          <w:rFonts w:ascii="Arial" w:hAnsi="Arial" w:cs="Arial"/>
          <w:color w:val="000000"/>
          <w:sz w:val="22"/>
          <w:szCs w:val="22"/>
        </w:rPr>
        <w:t>;</w:t>
      </w:r>
    </w:p>
    <w:p w:rsidR="00681D5D" w:rsidRPr="00681D5D" w:rsidRDefault="00681D5D" w:rsidP="00681D5D">
      <w:pPr>
        <w:pStyle w:val="para"/>
        <w:shd w:val="clear" w:color="auto" w:fill="FFFFFF"/>
        <w:spacing w:before="0" w:beforeAutospacing="0" w:after="0" w:afterAutospacing="0" w:line="360" w:lineRule="atLeast"/>
        <w:ind w:left="1440"/>
        <w:rPr>
          <w:rFonts w:ascii="Arial" w:hAnsi="Arial" w:cs="Arial"/>
          <w:color w:val="000000"/>
          <w:sz w:val="22"/>
          <w:szCs w:val="22"/>
        </w:rPr>
      </w:pPr>
    </w:p>
    <w:p w:rsidR="0018645D" w:rsidRDefault="00681D5D" w:rsidP="00C25F6C">
      <w:pPr>
        <w:pStyle w:val="Default"/>
        <w:numPr>
          <w:ilvl w:val="0"/>
          <w:numId w:val="23"/>
        </w:numPr>
        <w:spacing w:after="240"/>
        <w:ind w:left="1267"/>
        <w:jc w:val="both"/>
        <w:rPr>
          <w:rFonts w:ascii="Arial" w:hAnsi="Arial" w:cs="Arial"/>
        </w:rPr>
      </w:pPr>
      <w:r>
        <w:rPr>
          <w:rFonts w:ascii="Arial" w:hAnsi="Arial" w:cs="Arial"/>
        </w:rPr>
        <w:t xml:space="preserve">An example:  </w:t>
      </w:r>
    </w:p>
    <w:p w:rsidR="0018645D" w:rsidRDefault="00681D5D" w:rsidP="0018645D">
      <w:pPr>
        <w:pStyle w:val="Default"/>
        <w:numPr>
          <w:ilvl w:val="1"/>
          <w:numId w:val="23"/>
        </w:numPr>
        <w:spacing w:after="240"/>
        <w:jc w:val="both"/>
        <w:rPr>
          <w:rFonts w:ascii="Arial" w:hAnsi="Arial" w:cs="Arial"/>
        </w:rPr>
      </w:pPr>
      <w:r>
        <w:rPr>
          <w:rFonts w:ascii="Arial" w:hAnsi="Arial" w:cs="Arial"/>
        </w:rPr>
        <w:t xml:space="preserve">A British Columbian motorist, John Doe, suffers catastrophic injuries in a collision in Washington State.  </w:t>
      </w:r>
    </w:p>
    <w:p w:rsidR="0018645D" w:rsidRDefault="00681D5D" w:rsidP="0018645D">
      <w:pPr>
        <w:pStyle w:val="Default"/>
        <w:numPr>
          <w:ilvl w:val="1"/>
          <w:numId w:val="23"/>
        </w:numPr>
        <w:spacing w:after="240"/>
        <w:jc w:val="both"/>
        <w:rPr>
          <w:rFonts w:ascii="Arial" w:hAnsi="Arial" w:cs="Arial"/>
        </w:rPr>
      </w:pPr>
      <w:r>
        <w:rPr>
          <w:rFonts w:ascii="Arial" w:hAnsi="Arial" w:cs="Arial"/>
        </w:rPr>
        <w:t xml:space="preserve">The at-fault motorist has only $50,000 in liability insurance.  </w:t>
      </w:r>
    </w:p>
    <w:p w:rsidR="0018645D" w:rsidRDefault="00681D5D" w:rsidP="0018645D">
      <w:pPr>
        <w:pStyle w:val="Default"/>
        <w:numPr>
          <w:ilvl w:val="1"/>
          <w:numId w:val="23"/>
        </w:numPr>
        <w:spacing w:after="240"/>
        <w:jc w:val="both"/>
        <w:rPr>
          <w:rFonts w:ascii="Arial" w:hAnsi="Arial" w:cs="Arial"/>
        </w:rPr>
      </w:pPr>
      <w:r>
        <w:rPr>
          <w:rFonts w:ascii="Arial" w:hAnsi="Arial" w:cs="Arial"/>
        </w:rPr>
        <w:t xml:space="preserve">U.S. counsel settles out the claim at the at-fault motorist’s policy limits, but </w:t>
      </w:r>
      <w:r>
        <w:rPr>
          <w:rFonts w:ascii="Arial" w:hAnsi="Arial" w:cs="Arial"/>
          <w:u w:val="single"/>
        </w:rPr>
        <w:t>must seek ICBC’s consent</w:t>
      </w:r>
      <w:r>
        <w:rPr>
          <w:rFonts w:ascii="Arial" w:hAnsi="Arial" w:cs="Arial"/>
        </w:rPr>
        <w:t xml:space="preserve"> to that settlement, and demonstrate that the </w:t>
      </w:r>
      <w:proofErr w:type="spellStart"/>
      <w:r>
        <w:rPr>
          <w:rFonts w:ascii="Arial" w:hAnsi="Arial" w:cs="Arial"/>
        </w:rPr>
        <w:t>tortfeasor</w:t>
      </w:r>
      <w:proofErr w:type="spellEnd"/>
      <w:r>
        <w:rPr>
          <w:rFonts w:ascii="Arial" w:hAnsi="Arial" w:cs="Arial"/>
        </w:rPr>
        <w:t xml:space="preserve"> has no or limited assets to satisfy the claim.  </w:t>
      </w:r>
    </w:p>
    <w:p w:rsidR="0018645D" w:rsidRDefault="00681D5D" w:rsidP="0018645D">
      <w:pPr>
        <w:pStyle w:val="Default"/>
        <w:numPr>
          <w:ilvl w:val="1"/>
          <w:numId w:val="23"/>
        </w:numPr>
        <w:spacing w:after="240"/>
        <w:jc w:val="both"/>
        <w:rPr>
          <w:rFonts w:ascii="Arial" w:hAnsi="Arial" w:cs="Arial"/>
        </w:rPr>
      </w:pPr>
      <w:r>
        <w:rPr>
          <w:rFonts w:ascii="Arial" w:hAnsi="Arial" w:cs="Arial"/>
        </w:rPr>
        <w:t xml:space="preserve">If ICBC does not consent, the claim is not perfected. </w:t>
      </w:r>
    </w:p>
    <w:p w:rsidR="0018645D" w:rsidRDefault="00681D5D" w:rsidP="0018645D">
      <w:pPr>
        <w:pStyle w:val="Default"/>
        <w:numPr>
          <w:ilvl w:val="1"/>
          <w:numId w:val="23"/>
        </w:numPr>
        <w:spacing w:after="240"/>
        <w:jc w:val="both"/>
        <w:rPr>
          <w:rFonts w:ascii="Arial" w:hAnsi="Arial" w:cs="Arial"/>
        </w:rPr>
      </w:pPr>
      <w:r>
        <w:rPr>
          <w:rFonts w:ascii="Arial" w:hAnsi="Arial" w:cs="Arial"/>
        </w:rPr>
        <w:t xml:space="preserve">The only option then is to go to trial and get judgment.  </w:t>
      </w:r>
    </w:p>
    <w:p w:rsidR="00910A5D" w:rsidRDefault="00681D5D" w:rsidP="0018645D">
      <w:pPr>
        <w:pStyle w:val="Default"/>
        <w:numPr>
          <w:ilvl w:val="1"/>
          <w:numId w:val="23"/>
        </w:numPr>
        <w:spacing w:after="240"/>
        <w:jc w:val="both"/>
        <w:rPr>
          <w:rFonts w:ascii="Arial" w:hAnsi="Arial" w:cs="Arial"/>
        </w:rPr>
      </w:pPr>
      <w:r>
        <w:rPr>
          <w:rFonts w:ascii="Arial" w:hAnsi="Arial" w:cs="Arial"/>
        </w:rPr>
        <w:t xml:space="preserve">If ICBC does consent, or </w:t>
      </w:r>
      <w:r w:rsidR="0018645D">
        <w:rPr>
          <w:rFonts w:ascii="Arial" w:hAnsi="Arial" w:cs="Arial"/>
        </w:rPr>
        <w:t>once</w:t>
      </w:r>
      <w:r>
        <w:rPr>
          <w:rFonts w:ascii="Arial" w:hAnsi="Arial" w:cs="Arial"/>
        </w:rPr>
        <w:t xml:space="preserve"> </w:t>
      </w:r>
      <w:r w:rsidR="0018645D">
        <w:rPr>
          <w:rFonts w:ascii="Arial" w:hAnsi="Arial" w:cs="Arial"/>
        </w:rPr>
        <w:t xml:space="preserve">an excess </w:t>
      </w:r>
      <w:r>
        <w:rPr>
          <w:rFonts w:ascii="Arial" w:hAnsi="Arial" w:cs="Arial"/>
        </w:rPr>
        <w:t xml:space="preserve">judgment is obtained, John Doe hires a lawyer </w:t>
      </w:r>
      <w:r w:rsidR="0018645D">
        <w:rPr>
          <w:rFonts w:ascii="Arial" w:hAnsi="Arial" w:cs="Arial"/>
        </w:rPr>
        <w:t xml:space="preserve">in B.C. </w:t>
      </w:r>
      <w:r>
        <w:rPr>
          <w:rFonts w:ascii="Arial" w:hAnsi="Arial" w:cs="Arial"/>
        </w:rPr>
        <w:t xml:space="preserve">to file a Notice to Arbitrate.  </w:t>
      </w:r>
    </w:p>
    <w:p w:rsidR="0018645D" w:rsidRDefault="0018645D" w:rsidP="0018645D">
      <w:pPr>
        <w:pStyle w:val="Default"/>
        <w:numPr>
          <w:ilvl w:val="1"/>
          <w:numId w:val="23"/>
        </w:numPr>
        <w:spacing w:after="240"/>
        <w:jc w:val="both"/>
        <w:rPr>
          <w:rFonts w:ascii="Arial" w:hAnsi="Arial" w:cs="Arial"/>
        </w:rPr>
      </w:pPr>
      <w:r>
        <w:rPr>
          <w:rFonts w:ascii="Arial" w:hAnsi="Arial" w:cs="Arial"/>
        </w:rPr>
        <w:t xml:space="preserve">An arbitrator is mutually selected by ICBC and John Doe’s lawyer.  </w:t>
      </w:r>
    </w:p>
    <w:p w:rsidR="0018645D" w:rsidRDefault="0018645D" w:rsidP="0018645D">
      <w:pPr>
        <w:pStyle w:val="Default"/>
        <w:numPr>
          <w:ilvl w:val="1"/>
          <w:numId w:val="23"/>
        </w:numPr>
        <w:spacing w:after="240"/>
        <w:jc w:val="both"/>
        <w:rPr>
          <w:rFonts w:ascii="Arial" w:hAnsi="Arial" w:cs="Arial"/>
        </w:rPr>
      </w:pPr>
      <w:r>
        <w:rPr>
          <w:rFonts w:ascii="Arial" w:hAnsi="Arial" w:cs="Arial"/>
        </w:rPr>
        <w:t xml:space="preserve">The arbitrator sets deadlines for the disclosure of expert reports, discoveries, etc. and a hearing date is set. </w:t>
      </w:r>
    </w:p>
    <w:p w:rsidR="0018645D" w:rsidRDefault="0018645D" w:rsidP="0018645D">
      <w:pPr>
        <w:pStyle w:val="Default"/>
        <w:numPr>
          <w:ilvl w:val="1"/>
          <w:numId w:val="23"/>
        </w:numPr>
        <w:spacing w:after="240"/>
        <w:jc w:val="both"/>
        <w:rPr>
          <w:rFonts w:ascii="Arial" w:hAnsi="Arial" w:cs="Arial"/>
        </w:rPr>
      </w:pPr>
      <w:r>
        <w:rPr>
          <w:rFonts w:ascii="Arial" w:hAnsi="Arial" w:cs="Arial"/>
        </w:rPr>
        <w:t xml:space="preserve">The hearing is privately conducted in a boardroom, but with live witnesses and cross-examination. </w:t>
      </w:r>
    </w:p>
    <w:p w:rsidR="0018645D" w:rsidRDefault="0018645D" w:rsidP="0018645D">
      <w:pPr>
        <w:pStyle w:val="Default"/>
        <w:numPr>
          <w:ilvl w:val="1"/>
          <w:numId w:val="23"/>
        </w:numPr>
        <w:spacing w:after="240"/>
        <w:jc w:val="both"/>
        <w:rPr>
          <w:rFonts w:ascii="Arial" w:hAnsi="Arial" w:cs="Arial"/>
        </w:rPr>
      </w:pPr>
      <w:r>
        <w:rPr>
          <w:rFonts w:ascii="Arial" w:hAnsi="Arial" w:cs="Arial"/>
        </w:rPr>
        <w:t>The arbitrator assesses the value of the damages (if there is no judgment already) and then applies the requisite deductions.</w:t>
      </w:r>
    </w:p>
    <w:p w:rsidR="0018645D" w:rsidRDefault="0018645D" w:rsidP="0018645D">
      <w:pPr>
        <w:pStyle w:val="Default"/>
        <w:numPr>
          <w:ilvl w:val="1"/>
          <w:numId w:val="23"/>
        </w:numPr>
        <w:spacing w:after="240"/>
        <w:jc w:val="both"/>
        <w:rPr>
          <w:rFonts w:ascii="Arial" w:hAnsi="Arial" w:cs="Arial"/>
        </w:rPr>
      </w:pPr>
      <w:r>
        <w:rPr>
          <w:rFonts w:ascii="Arial" w:hAnsi="Arial" w:cs="Arial"/>
        </w:rPr>
        <w:t xml:space="preserve">John Doe, because he is disabled from his injuries, is collecting a CPP Disability Pension.  He has also been paid and is continuing to be paid Part 7 treatment benefits.  </w:t>
      </w:r>
    </w:p>
    <w:p w:rsidR="0018645D" w:rsidRDefault="0018645D" w:rsidP="0018645D">
      <w:pPr>
        <w:pStyle w:val="Default"/>
        <w:numPr>
          <w:ilvl w:val="1"/>
          <w:numId w:val="23"/>
        </w:numPr>
        <w:spacing w:after="240"/>
        <w:jc w:val="both"/>
        <w:rPr>
          <w:rFonts w:ascii="Arial" w:hAnsi="Arial" w:cs="Arial"/>
        </w:rPr>
      </w:pPr>
      <w:r>
        <w:rPr>
          <w:rFonts w:ascii="Arial" w:hAnsi="Arial" w:cs="Arial"/>
        </w:rPr>
        <w:t xml:space="preserve">John Doe’s damages are assessed at $1.5m.  </w:t>
      </w:r>
    </w:p>
    <w:p w:rsidR="0018645D" w:rsidRDefault="0018645D" w:rsidP="0018645D">
      <w:pPr>
        <w:pStyle w:val="Default"/>
        <w:numPr>
          <w:ilvl w:val="1"/>
          <w:numId w:val="23"/>
        </w:numPr>
        <w:spacing w:after="240"/>
        <w:jc w:val="both"/>
        <w:rPr>
          <w:rFonts w:ascii="Arial" w:hAnsi="Arial" w:cs="Arial"/>
        </w:rPr>
      </w:pPr>
      <w:r>
        <w:rPr>
          <w:rFonts w:ascii="Arial" w:hAnsi="Arial" w:cs="Arial"/>
        </w:rPr>
        <w:t xml:space="preserve">While he has $1m in UMP, the $50,000 paid out in Washington is deducted, as are his CPP benefits, past and prospective, as are the legal disbursements incurred in prosecuting the action.  </w:t>
      </w:r>
    </w:p>
    <w:p w:rsidR="0018645D" w:rsidRDefault="0018645D" w:rsidP="0018645D">
      <w:pPr>
        <w:pStyle w:val="Default"/>
        <w:numPr>
          <w:ilvl w:val="1"/>
          <w:numId w:val="23"/>
        </w:numPr>
        <w:spacing w:after="240"/>
        <w:jc w:val="both"/>
        <w:rPr>
          <w:rFonts w:ascii="Arial" w:hAnsi="Arial" w:cs="Arial"/>
        </w:rPr>
      </w:pPr>
      <w:r>
        <w:rPr>
          <w:rFonts w:ascii="Arial" w:hAnsi="Arial" w:cs="Arial"/>
        </w:rPr>
        <w:t xml:space="preserve">Thus, John Doe is undercompensated for his losses. But he would have been even more severely undercompensated if he didn’t have UMP coverage at all (which is thankfully mandatory at $1m).  But, he would have been fully compensated if he had purchased the additional coverage for a total of $2m. </w:t>
      </w:r>
    </w:p>
    <w:p w:rsidR="00F2619B" w:rsidRPr="00F2619B" w:rsidRDefault="00C02C97" w:rsidP="00F2619B">
      <w:pPr>
        <w:pStyle w:val="Default"/>
        <w:numPr>
          <w:ilvl w:val="1"/>
          <w:numId w:val="23"/>
        </w:numPr>
        <w:spacing w:after="240"/>
        <w:ind w:left="720"/>
        <w:jc w:val="both"/>
        <w:rPr>
          <w:rFonts w:ascii="Arial" w:hAnsi="Arial" w:cs="Arial"/>
          <w:b/>
        </w:rPr>
      </w:pPr>
      <w:r>
        <w:rPr>
          <w:rFonts w:ascii="Arial" w:hAnsi="Arial" w:cs="Arial"/>
        </w:rPr>
        <w:t xml:space="preserve">One of our UMP cases proceeded to hearing on a narrow issue before Arbitrator Don Yule, Q.C., </w:t>
      </w:r>
      <w:hyperlink r:id="rId11" w:history="1">
        <w:r w:rsidRPr="00C02C97">
          <w:rPr>
            <w:rStyle w:val="Hyperlink"/>
            <w:rFonts w:ascii="Arial" w:hAnsi="Arial" w:cs="Arial"/>
          </w:rPr>
          <w:t>Undisclosed v. ICBC, 25 August 2017</w:t>
        </w:r>
      </w:hyperlink>
      <w:r>
        <w:rPr>
          <w:rFonts w:ascii="Arial" w:hAnsi="Arial" w:cs="Arial"/>
        </w:rPr>
        <w:t xml:space="preserve">.  </w:t>
      </w:r>
    </w:p>
    <w:p w:rsidR="00F2619B" w:rsidRPr="00F2619B" w:rsidRDefault="00C02C97" w:rsidP="00F2619B">
      <w:pPr>
        <w:pStyle w:val="Default"/>
        <w:numPr>
          <w:ilvl w:val="2"/>
          <w:numId w:val="23"/>
        </w:numPr>
        <w:spacing w:after="240"/>
        <w:ind w:left="1440"/>
        <w:jc w:val="both"/>
        <w:rPr>
          <w:rFonts w:ascii="Arial" w:hAnsi="Arial" w:cs="Arial"/>
          <w:b/>
        </w:rPr>
      </w:pPr>
      <w:r>
        <w:rPr>
          <w:rFonts w:ascii="Arial" w:hAnsi="Arial" w:cs="Arial"/>
        </w:rPr>
        <w:t xml:space="preserve">At issue was whether the claimant lost the opportunity to become a partner in his father’s plumbing business because of his accident injuries, specifically a right shoulder injury that limited him from engaging in overhead work.  </w:t>
      </w:r>
    </w:p>
    <w:p w:rsidR="00503226" w:rsidRPr="00503226" w:rsidRDefault="00C02C97" w:rsidP="00F2619B">
      <w:pPr>
        <w:pStyle w:val="Default"/>
        <w:numPr>
          <w:ilvl w:val="2"/>
          <w:numId w:val="23"/>
        </w:numPr>
        <w:spacing w:after="240"/>
        <w:ind w:left="1440"/>
        <w:jc w:val="both"/>
        <w:rPr>
          <w:rFonts w:ascii="Arial" w:hAnsi="Arial" w:cs="Arial"/>
          <w:b/>
        </w:rPr>
      </w:pPr>
      <w:r>
        <w:rPr>
          <w:rFonts w:ascii="Arial" w:hAnsi="Arial" w:cs="Arial"/>
        </w:rPr>
        <w:t xml:space="preserve">The arbitrator applied the law and found there was a real and substantial possibility that the claimant lost this opportunity, and assessed the chance of the opportunity being pursued, but for the collision, at 90%.  </w:t>
      </w:r>
    </w:p>
    <w:p w:rsidR="00C02C97" w:rsidRDefault="00C02C97" w:rsidP="00F2619B">
      <w:pPr>
        <w:pStyle w:val="Default"/>
        <w:numPr>
          <w:ilvl w:val="2"/>
          <w:numId w:val="23"/>
        </w:numPr>
        <w:spacing w:after="240"/>
        <w:ind w:left="1440"/>
        <w:jc w:val="both"/>
        <w:rPr>
          <w:rFonts w:ascii="Arial" w:hAnsi="Arial" w:cs="Arial"/>
          <w:b/>
        </w:rPr>
      </w:pPr>
      <w:r>
        <w:rPr>
          <w:rFonts w:ascii="Arial" w:hAnsi="Arial" w:cs="Arial"/>
        </w:rPr>
        <w:t xml:space="preserve">The assessment of the quantum and deductibles </w:t>
      </w:r>
      <w:r w:rsidR="00F2619B">
        <w:rPr>
          <w:rFonts w:ascii="Arial" w:hAnsi="Arial" w:cs="Arial"/>
        </w:rPr>
        <w:t xml:space="preserve">was not at issue, </w:t>
      </w:r>
      <w:r w:rsidR="00503226">
        <w:rPr>
          <w:rFonts w:ascii="Arial" w:hAnsi="Arial" w:cs="Arial"/>
        </w:rPr>
        <w:t>and</w:t>
      </w:r>
      <w:r w:rsidR="00F2619B">
        <w:rPr>
          <w:rFonts w:ascii="Arial" w:hAnsi="Arial" w:cs="Arial"/>
        </w:rPr>
        <w:t xml:space="preserve"> </w:t>
      </w:r>
      <w:r w:rsidR="00503226">
        <w:rPr>
          <w:rFonts w:ascii="Arial" w:hAnsi="Arial" w:cs="Arial"/>
        </w:rPr>
        <w:t xml:space="preserve">these issues were </w:t>
      </w:r>
      <w:r w:rsidR="00F2619B">
        <w:rPr>
          <w:rFonts w:ascii="Arial" w:hAnsi="Arial" w:cs="Arial"/>
        </w:rPr>
        <w:t xml:space="preserve">subsequently </w:t>
      </w:r>
      <w:r w:rsidR="00503226">
        <w:rPr>
          <w:rFonts w:ascii="Arial" w:hAnsi="Arial" w:cs="Arial"/>
        </w:rPr>
        <w:t>resolved</w:t>
      </w:r>
      <w:r>
        <w:rPr>
          <w:rFonts w:ascii="Arial" w:hAnsi="Arial" w:cs="Arial"/>
        </w:rPr>
        <w:t xml:space="preserve">. </w:t>
      </w:r>
    </w:p>
    <w:p w:rsidR="000A349A" w:rsidRPr="00C25F6C" w:rsidRDefault="009F6E5C" w:rsidP="0015793F">
      <w:pPr>
        <w:pStyle w:val="Default"/>
        <w:numPr>
          <w:ilvl w:val="1"/>
          <w:numId w:val="1"/>
        </w:numPr>
        <w:ind w:left="810" w:hanging="810"/>
        <w:jc w:val="both"/>
        <w:rPr>
          <w:rFonts w:ascii="Arial" w:hAnsi="Arial" w:cs="Arial"/>
          <w:b/>
        </w:rPr>
      </w:pPr>
      <w:r w:rsidRPr="00C25F6C">
        <w:rPr>
          <w:rFonts w:ascii="Arial" w:hAnsi="Arial" w:cs="Arial"/>
          <w:b/>
        </w:rPr>
        <w:t>PART 7 BENEFITS</w:t>
      </w:r>
    </w:p>
    <w:p w:rsidR="000A349A" w:rsidRPr="00425DBD" w:rsidRDefault="000A349A" w:rsidP="000A349A">
      <w:pPr>
        <w:pStyle w:val="Default"/>
        <w:jc w:val="both"/>
        <w:rPr>
          <w:rFonts w:ascii="Arial" w:hAnsi="Arial" w:cs="Arial"/>
          <w:b/>
        </w:rPr>
      </w:pPr>
    </w:p>
    <w:p w:rsidR="000B6A1E" w:rsidRPr="00425DBD" w:rsidRDefault="000B6A1E" w:rsidP="00607568">
      <w:pPr>
        <w:pStyle w:val="Default"/>
        <w:numPr>
          <w:ilvl w:val="0"/>
          <w:numId w:val="6"/>
        </w:numPr>
        <w:jc w:val="both"/>
        <w:rPr>
          <w:rFonts w:ascii="Arial" w:hAnsi="Arial" w:cs="Arial"/>
        </w:rPr>
      </w:pPr>
      <w:r w:rsidRPr="00425DBD">
        <w:rPr>
          <w:rFonts w:ascii="Arial" w:hAnsi="Arial" w:cs="Arial"/>
          <w:i/>
        </w:rPr>
        <w:t>Why do we call them Part 7 benefits</w:t>
      </w:r>
      <w:r w:rsidR="0018645D">
        <w:rPr>
          <w:rFonts w:ascii="Arial" w:hAnsi="Arial" w:cs="Arial"/>
        </w:rPr>
        <w:t>?  B</w:t>
      </w:r>
      <w:r w:rsidRPr="00425DBD">
        <w:rPr>
          <w:rFonts w:ascii="Arial" w:hAnsi="Arial" w:cs="Arial"/>
        </w:rPr>
        <w:t>ecause the</w:t>
      </w:r>
      <w:r w:rsidR="0018645D">
        <w:rPr>
          <w:rFonts w:ascii="Arial" w:hAnsi="Arial" w:cs="Arial"/>
        </w:rPr>
        <w:t>se benefits</w:t>
      </w:r>
      <w:r w:rsidRPr="00425DBD">
        <w:rPr>
          <w:rFonts w:ascii="Arial" w:hAnsi="Arial" w:cs="Arial"/>
        </w:rPr>
        <w:t xml:space="preserve"> are governed by Part 7 of the </w:t>
      </w:r>
      <w:r w:rsidRPr="00C528D9">
        <w:rPr>
          <w:rFonts w:ascii="Arial" w:hAnsi="Arial" w:cs="Arial"/>
          <w:i/>
        </w:rPr>
        <w:t>Insurance (Vehicle) Regulations</w:t>
      </w:r>
      <w:r w:rsidRPr="00425DBD">
        <w:rPr>
          <w:rFonts w:ascii="Arial" w:hAnsi="Arial" w:cs="Arial"/>
        </w:rPr>
        <w:t>.</w:t>
      </w:r>
    </w:p>
    <w:p w:rsidR="000B6A1E" w:rsidRPr="00425DBD" w:rsidRDefault="000B6A1E" w:rsidP="000B6A1E">
      <w:pPr>
        <w:pStyle w:val="Default"/>
        <w:jc w:val="both"/>
        <w:rPr>
          <w:rFonts w:ascii="Arial" w:hAnsi="Arial" w:cs="Arial"/>
        </w:rPr>
      </w:pPr>
    </w:p>
    <w:p w:rsidR="000B6A1E" w:rsidRPr="00425DBD" w:rsidRDefault="000B6A1E" w:rsidP="00607568">
      <w:pPr>
        <w:pStyle w:val="Default"/>
        <w:numPr>
          <w:ilvl w:val="0"/>
          <w:numId w:val="6"/>
        </w:numPr>
        <w:jc w:val="both"/>
        <w:rPr>
          <w:rFonts w:ascii="Arial" w:hAnsi="Arial" w:cs="Arial"/>
        </w:rPr>
      </w:pPr>
      <w:r w:rsidRPr="00425DBD">
        <w:rPr>
          <w:rFonts w:ascii="Arial" w:hAnsi="Arial" w:cs="Arial"/>
          <w:i/>
        </w:rPr>
        <w:t>Who is entitled to “</w:t>
      </w:r>
      <w:r w:rsidR="00953226">
        <w:rPr>
          <w:rFonts w:ascii="Arial" w:hAnsi="Arial" w:cs="Arial"/>
          <w:i/>
        </w:rPr>
        <w:t xml:space="preserve">Part 7 </w:t>
      </w:r>
      <w:r w:rsidRPr="00425DBD">
        <w:rPr>
          <w:rFonts w:ascii="Arial" w:hAnsi="Arial" w:cs="Arial"/>
          <w:i/>
        </w:rPr>
        <w:t>Accident Benefits”</w:t>
      </w:r>
      <w:r w:rsidR="00C528D9">
        <w:rPr>
          <w:rFonts w:ascii="Arial" w:hAnsi="Arial" w:cs="Arial"/>
        </w:rPr>
        <w:t xml:space="preserve">? </w:t>
      </w:r>
      <w:r w:rsidRPr="00425DBD">
        <w:rPr>
          <w:rFonts w:ascii="Arial" w:hAnsi="Arial" w:cs="Arial"/>
        </w:rPr>
        <w:t xml:space="preserve"> </w:t>
      </w:r>
      <w:r w:rsidR="00607568" w:rsidRPr="00425DBD">
        <w:rPr>
          <w:rFonts w:ascii="Arial" w:hAnsi="Arial" w:cs="Arial"/>
        </w:rPr>
        <w:t xml:space="preserve">Section 79 states that Part 7 Accident Benefits are payable to </w:t>
      </w:r>
      <w:r w:rsidRPr="00425DBD">
        <w:rPr>
          <w:rFonts w:ascii="Arial" w:hAnsi="Arial" w:cs="Arial"/>
        </w:rPr>
        <w:t>anyone that</w:t>
      </w:r>
      <w:r w:rsidR="006F5F57">
        <w:rPr>
          <w:rFonts w:ascii="Arial" w:hAnsi="Arial" w:cs="Arial"/>
        </w:rPr>
        <w:t xml:space="preserve"> is</w:t>
      </w:r>
      <w:r w:rsidRPr="00425DBD">
        <w:rPr>
          <w:rFonts w:ascii="Arial" w:hAnsi="Arial" w:cs="Arial"/>
        </w:rPr>
        <w:t xml:space="preserve"> </w:t>
      </w:r>
      <w:r w:rsidR="00607568" w:rsidRPr="00425DBD">
        <w:rPr>
          <w:rFonts w:ascii="Arial" w:hAnsi="Arial" w:cs="Arial"/>
        </w:rPr>
        <w:t xml:space="preserve">injured through the “use or operation of a motor vehicle” and who </w:t>
      </w:r>
      <w:r w:rsidRPr="00425DBD">
        <w:rPr>
          <w:rFonts w:ascii="Arial" w:hAnsi="Arial" w:cs="Arial"/>
        </w:rPr>
        <w:t>meets the definition of an “insured” in section 78:</w:t>
      </w:r>
    </w:p>
    <w:p w:rsidR="000B6A1E" w:rsidRPr="00425DBD" w:rsidRDefault="000B6A1E" w:rsidP="00607568">
      <w:pPr>
        <w:pStyle w:val="Default"/>
        <w:ind w:left="720"/>
        <w:jc w:val="both"/>
        <w:rPr>
          <w:rFonts w:ascii="Arial" w:hAnsi="Arial" w:cs="Arial"/>
        </w:rPr>
      </w:pPr>
    </w:p>
    <w:p w:rsidR="00607568" w:rsidRPr="00425DBD" w:rsidRDefault="00607568" w:rsidP="00607568">
      <w:pPr>
        <w:pStyle w:val="Default"/>
        <w:ind w:left="720"/>
        <w:jc w:val="both"/>
        <w:rPr>
          <w:rFonts w:ascii="Arial" w:hAnsi="Arial" w:cs="Arial"/>
          <w:b/>
        </w:rPr>
      </w:pPr>
      <w:r w:rsidRPr="00425DBD">
        <w:rPr>
          <w:rFonts w:ascii="Arial" w:hAnsi="Arial" w:cs="Arial"/>
          <w:b/>
        </w:rPr>
        <w:t>Coverage and benefits</w:t>
      </w:r>
    </w:p>
    <w:p w:rsidR="00607568" w:rsidRPr="00425DBD" w:rsidRDefault="00607568" w:rsidP="00607568">
      <w:pPr>
        <w:pStyle w:val="Default"/>
        <w:ind w:left="720"/>
        <w:jc w:val="both"/>
        <w:rPr>
          <w:rFonts w:ascii="Arial" w:hAnsi="Arial" w:cs="Arial"/>
        </w:rPr>
      </w:pPr>
    </w:p>
    <w:p w:rsidR="00607568" w:rsidRPr="00425DBD" w:rsidRDefault="00607568" w:rsidP="00607568">
      <w:pPr>
        <w:pStyle w:val="Default"/>
        <w:ind w:left="720"/>
        <w:jc w:val="both"/>
        <w:rPr>
          <w:rFonts w:ascii="Arial" w:hAnsi="Arial" w:cs="Arial"/>
        </w:rPr>
      </w:pPr>
      <w:r w:rsidRPr="00425DBD">
        <w:rPr>
          <w:rFonts w:ascii="Arial" w:hAnsi="Arial" w:cs="Arial"/>
        </w:rPr>
        <w:t xml:space="preserve">79 (1)  Subject to subsection (2) and sections 80 to 88, 90, 92, 100, 101 and 104, the corporation </w:t>
      </w:r>
      <w:r w:rsidRPr="006F5F57">
        <w:rPr>
          <w:rFonts w:ascii="Arial" w:hAnsi="Arial" w:cs="Arial"/>
          <w:b/>
        </w:rPr>
        <w:t>shall pay benefits</w:t>
      </w:r>
      <w:r w:rsidRPr="00425DBD">
        <w:rPr>
          <w:rFonts w:ascii="Arial" w:hAnsi="Arial" w:cs="Arial"/>
        </w:rPr>
        <w:t xml:space="preserve"> to an insured in respect of death or injury caused by an accident that arises out of the use or operation of a vehicle and that occurs in Canada or the United States of America or on a vessel travelling between Canada and the United States of America.</w:t>
      </w:r>
    </w:p>
    <w:p w:rsidR="00607568" w:rsidRPr="00425DBD" w:rsidRDefault="00607568" w:rsidP="00607568">
      <w:pPr>
        <w:pStyle w:val="Default"/>
        <w:jc w:val="both"/>
        <w:rPr>
          <w:rFonts w:ascii="Arial" w:hAnsi="Arial" w:cs="Arial"/>
        </w:rPr>
      </w:pPr>
    </w:p>
    <w:p w:rsidR="00607568" w:rsidRPr="00425DBD" w:rsidRDefault="00607568" w:rsidP="00607568">
      <w:pPr>
        <w:pStyle w:val="Default"/>
        <w:ind w:firstLine="720"/>
        <w:jc w:val="both"/>
        <w:rPr>
          <w:rFonts w:ascii="Arial" w:hAnsi="Arial" w:cs="Arial"/>
          <w:b/>
        </w:rPr>
      </w:pPr>
      <w:r w:rsidRPr="00425DBD">
        <w:rPr>
          <w:rFonts w:ascii="Arial" w:hAnsi="Arial" w:cs="Arial"/>
          <w:b/>
        </w:rPr>
        <w:t>Interpretation</w:t>
      </w:r>
    </w:p>
    <w:p w:rsidR="00607568" w:rsidRPr="00425DBD" w:rsidRDefault="00607568" w:rsidP="00607568">
      <w:pPr>
        <w:pStyle w:val="Default"/>
        <w:ind w:left="720"/>
        <w:jc w:val="both"/>
        <w:rPr>
          <w:rFonts w:ascii="Arial" w:hAnsi="Arial" w:cs="Arial"/>
        </w:rPr>
      </w:pPr>
    </w:p>
    <w:p w:rsidR="000B6A1E" w:rsidRPr="00425DBD" w:rsidRDefault="00607568" w:rsidP="00607568">
      <w:pPr>
        <w:pStyle w:val="Default"/>
        <w:ind w:left="720"/>
        <w:jc w:val="both"/>
        <w:rPr>
          <w:rFonts w:ascii="Arial" w:hAnsi="Arial" w:cs="Arial"/>
        </w:rPr>
      </w:pPr>
      <w:r w:rsidRPr="00425DBD">
        <w:rPr>
          <w:rFonts w:ascii="Arial" w:hAnsi="Arial" w:cs="Arial"/>
        </w:rPr>
        <w:t xml:space="preserve">78 In this part </w:t>
      </w:r>
      <w:r w:rsidR="000B6A1E" w:rsidRPr="00425DBD">
        <w:rPr>
          <w:rFonts w:ascii="Arial" w:hAnsi="Arial" w:cs="Arial"/>
        </w:rPr>
        <w:t>"insured" means</w:t>
      </w:r>
    </w:p>
    <w:p w:rsidR="000B6A1E" w:rsidRPr="00425DBD" w:rsidRDefault="000B6A1E" w:rsidP="00607568">
      <w:pPr>
        <w:pStyle w:val="Default"/>
        <w:ind w:left="720"/>
        <w:jc w:val="both"/>
        <w:rPr>
          <w:rFonts w:ascii="Arial" w:hAnsi="Arial" w:cs="Arial"/>
        </w:rPr>
      </w:pPr>
    </w:p>
    <w:p w:rsidR="000B6A1E" w:rsidRPr="00425DBD" w:rsidRDefault="000B6A1E" w:rsidP="00607568">
      <w:pPr>
        <w:pStyle w:val="Default"/>
        <w:ind w:left="720"/>
        <w:jc w:val="both"/>
        <w:rPr>
          <w:rFonts w:ascii="Arial" w:hAnsi="Arial" w:cs="Arial"/>
        </w:rPr>
      </w:pPr>
      <w:r w:rsidRPr="00425DBD">
        <w:rPr>
          <w:rFonts w:ascii="Arial" w:hAnsi="Arial" w:cs="Arial"/>
        </w:rPr>
        <w:t xml:space="preserve">(a) a person named as an </w:t>
      </w:r>
      <w:r w:rsidRPr="006F5F57">
        <w:rPr>
          <w:rFonts w:ascii="Arial" w:hAnsi="Arial" w:cs="Arial"/>
          <w:b/>
        </w:rPr>
        <w:t>owner</w:t>
      </w:r>
      <w:r w:rsidRPr="00425DBD">
        <w:rPr>
          <w:rFonts w:ascii="Arial" w:hAnsi="Arial" w:cs="Arial"/>
        </w:rPr>
        <w:t xml:space="preserve"> in an owner's certificate,</w:t>
      </w:r>
    </w:p>
    <w:p w:rsidR="00607568" w:rsidRPr="00425DBD" w:rsidRDefault="00607568" w:rsidP="00607568">
      <w:pPr>
        <w:pStyle w:val="Default"/>
        <w:ind w:left="720"/>
        <w:jc w:val="both"/>
        <w:rPr>
          <w:rFonts w:ascii="Arial" w:hAnsi="Arial" w:cs="Arial"/>
        </w:rPr>
      </w:pPr>
    </w:p>
    <w:p w:rsidR="000B6A1E" w:rsidRPr="00425DBD" w:rsidRDefault="000B6A1E" w:rsidP="00607568">
      <w:pPr>
        <w:pStyle w:val="Default"/>
        <w:ind w:left="720"/>
        <w:jc w:val="both"/>
        <w:rPr>
          <w:rFonts w:ascii="Arial" w:hAnsi="Arial" w:cs="Arial"/>
        </w:rPr>
      </w:pPr>
      <w:r w:rsidRPr="00425DBD">
        <w:rPr>
          <w:rFonts w:ascii="Arial" w:hAnsi="Arial" w:cs="Arial"/>
        </w:rPr>
        <w:t xml:space="preserve">(c) </w:t>
      </w:r>
      <w:r w:rsidRPr="006F5F57">
        <w:rPr>
          <w:rFonts w:ascii="Arial" w:hAnsi="Arial" w:cs="Arial"/>
          <w:b/>
        </w:rPr>
        <w:t>a member of the household</w:t>
      </w:r>
      <w:r w:rsidRPr="00425DBD">
        <w:rPr>
          <w:rFonts w:ascii="Arial" w:hAnsi="Arial" w:cs="Arial"/>
        </w:rPr>
        <w:t xml:space="preserve"> of a person named in an owner's certificate,</w:t>
      </w:r>
    </w:p>
    <w:p w:rsidR="00607568" w:rsidRPr="00425DBD" w:rsidRDefault="00607568" w:rsidP="00607568">
      <w:pPr>
        <w:pStyle w:val="Default"/>
        <w:ind w:left="720"/>
        <w:jc w:val="both"/>
        <w:rPr>
          <w:rFonts w:ascii="Arial" w:hAnsi="Arial" w:cs="Arial"/>
        </w:rPr>
      </w:pPr>
    </w:p>
    <w:p w:rsidR="000B6A1E" w:rsidRPr="00425DBD" w:rsidRDefault="000B6A1E" w:rsidP="00607568">
      <w:pPr>
        <w:pStyle w:val="Default"/>
        <w:ind w:left="720"/>
        <w:jc w:val="both"/>
        <w:rPr>
          <w:rFonts w:ascii="Arial" w:hAnsi="Arial" w:cs="Arial"/>
        </w:rPr>
      </w:pPr>
      <w:r w:rsidRPr="00425DBD">
        <w:rPr>
          <w:rFonts w:ascii="Arial" w:hAnsi="Arial" w:cs="Arial"/>
        </w:rPr>
        <w:t>(c.1) an insured as defined in section 42 who is not in default of p</w:t>
      </w:r>
      <w:r w:rsidR="00607568" w:rsidRPr="00425DBD">
        <w:rPr>
          <w:rFonts w:ascii="Arial" w:hAnsi="Arial" w:cs="Arial"/>
        </w:rPr>
        <w:t xml:space="preserve">remium payable under section 45 – (note that section 42 lists an “insured” as a </w:t>
      </w:r>
      <w:r w:rsidR="00607568" w:rsidRPr="006F5F57">
        <w:rPr>
          <w:rFonts w:ascii="Arial" w:hAnsi="Arial" w:cs="Arial"/>
          <w:b/>
        </w:rPr>
        <w:t>resident named on a driver's certificate</w:t>
      </w:r>
      <w:r w:rsidR="00607568" w:rsidRPr="00425DBD">
        <w:rPr>
          <w:rFonts w:ascii="Arial" w:hAnsi="Arial" w:cs="Arial"/>
        </w:rPr>
        <w:t xml:space="preserve"> other than a person driving a vehicle that is exempted under section 43 or 44 of the Ac</w:t>
      </w:r>
    </w:p>
    <w:p w:rsidR="00607568" w:rsidRPr="00425DBD" w:rsidRDefault="00607568" w:rsidP="00607568">
      <w:pPr>
        <w:pStyle w:val="Default"/>
        <w:ind w:left="720"/>
        <w:jc w:val="both"/>
        <w:rPr>
          <w:rFonts w:ascii="Arial" w:hAnsi="Arial" w:cs="Arial"/>
        </w:rPr>
      </w:pPr>
    </w:p>
    <w:p w:rsidR="000B6A1E" w:rsidRPr="00425DBD" w:rsidRDefault="000B6A1E" w:rsidP="00607568">
      <w:pPr>
        <w:pStyle w:val="Default"/>
        <w:ind w:left="720"/>
        <w:jc w:val="both"/>
        <w:rPr>
          <w:rFonts w:ascii="Arial" w:hAnsi="Arial" w:cs="Arial"/>
        </w:rPr>
      </w:pPr>
      <w:r w:rsidRPr="00425DBD">
        <w:rPr>
          <w:rFonts w:ascii="Arial" w:hAnsi="Arial" w:cs="Arial"/>
        </w:rPr>
        <w:t>(c.2) a member of the household of an insured described in paragraph (c.1),</w:t>
      </w:r>
    </w:p>
    <w:p w:rsidR="00607568" w:rsidRPr="00425DBD" w:rsidRDefault="00607568" w:rsidP="00607568">
      <w:pPr>
        <w:pStyle w:val="Default"/>
        <w:ind w:left="720"/>
        <w:jc w:val="both"/>
        <w:rPr>
          <w:rFonts w:ascii="Arial" w:hAnsi="Arial" w:cs="Arial"/>
        </w:rPr>
      </w:pPr>
    </w:p>
    <w:p w:rsidR="000B6A1E" w:rsidRPr="00425DBD" w:rsidRDefault="000B6A1E" w:rsidP="00607568">
      <w:pPr>
        <w:pStyle w:val="Default"/>
        <w:ind w:left="720"/>
        <w:jc w:val="both"/>
        <w:rPr>
          <w:rFonts w:ascii="Arial" w:hAnsi="Arial" w:cs="Arial"/>
        </w:rPr>
      </w:pPr>
      <w:r w:rsidRPr="00425DBD">
        <w:rPr>
          <w:rFonts w:ascii="Arial" w:hAnsi="Arial" w:cs="Arial"/>
        </w:rPr>
        <w:t xml:space="preserve">(d) an </w:t>
      </w:r>
      <w:r w:rsidRPr="006F5F57">
        <w:rPr>
          <w:rFonts w:ascii="Arial" w:hAnsi="Arial" w:cs="Arial"/>
          <w:b/>
        </w:rPr>
        <w:t>occupant of a vehicle</w:t>
      </w:r>
      <w:r w:rsidRPr="00425DBD">
        <w:rPr>
          <w:rFonts w:ascii="Arial" w:hAnsi="Arial" w:cs="Arial"/>
        </w:rPr>
        <w:t xml:space="preserve"> that</w:t>
      </w:r>
    </w:p>
    <w:p w:rsidR="000B6A1E" w:rsidRPr="00425DBD" w:rsidRDefault="000B6A1E" w:rsidP="00607568">
      <w:pPr>
        <w:pStyle w:val="Default"/>
        <w:ind w:left="1440"/>
        <w:jc w:val="both"/>
        <w:rPr>
          <w:rFonts w:ascii="Arial" w:hAnsi="Arial" w:cs="Arial"/>
        </w:rPr>
      </w:pPr>
      <w:r w:rsidRPr="00425DBD">
        <w:rPr>
          <w:rFonts w:ascii="Arial" w:hAnsi="Arial" w:cs="Arial"/>
        </w:rPr>
        <w:t>(i)  is licensed in the Province and is not exempted under section 43 or 44 of the Act, or</w:t>
      </w:r>
    </w:p>
    <w:p w:rsidR="000B6A1E" w:rsidRPr="00425DBD" w:rsidRDefault="000B6A1E" w:rsidP="00607568">
      <w:pPr>
        <w:pStyle w:val="Default"/>
        <w:ind w:left="1440"/>
        <w:jc w:val="both"/>
        <w:rPr>
          <w:rFonts w:ascii="Arial" w:hAnsi="Arial" w:cs="Arial"/>
        </w:rPr>
      </w:pPr>
      <w:r w:rsidRPr="00425DBD">
        <w:rPr>
          <w:rFonts w:ascii="Arial" w:hAnsi="Arial" w:cs="Arial"/>
        </w:rPr>
        <w:t>(ii)  is not required to be licensed in the Province, but is operated by a person named in a driver's certificate,</w:t>
      </w:r>
    </w:p>
    <w:p w:rsidR="00607568" w:rsidRPr="00425DBD" w:rsidRDefault="00607568" w:rsidP="00607568">
      <w:pPr>
        <w:pStyle w:val="Default"/>
        <w:ind w:left="720"/>
        <w:jc w:val="both"/>
        <w:rPr>
          <w:rFonts w:ascii="Arial" w:hAnsi="Arial" w:cs="Arial"/>
        </w:rPr>
      </w:pPr>
    </w:p>
    <w:p w:rsidR="000B6A1E" w:rsidRPr="00425DBD" w:rsidRDefault="000B6A1E" w:rsidP="00607568">
      <w:pPr>
        <w:pStyle w:val="Default"/>
        <w:ind w:left="720"/>
        <w:jc w:val="both"/>
        <w:rPr>
          <w:rFonts w:ascii="Arial" w:hAnsi="Arial" w:cs="Arial"/>
        </w:rPr>
      </w:pPr>
      <w:r w:rsidRPr="00425DBD">
        <w:rPr>
          <w:rFonts w:ascii="Arial" w:hAnsi="Arial" w:cs="Arial"/>
        </w:rPr>
        <w:t xml:space="preserve">(e) </w:t>
      </w:r>
      <w:r w:rsidRPr="006F5F57">
        <w:rPr>
          <w:rFonts w:ascii="Arial" w:hAnsi="Arial" w:cs="Arial"/>
          <w:b/>
        </w:rPr>
        <w:t>a cyclist or pedestrian</w:t>
      </w:r>
      <w:r w:rsidRPr="00425DBD">
        <w:rPr>
          <w:rFonts w:ascii="Arial" w:hAnsi="Arial" w:cs="Arial"/>
        </w:rPr>
        <w:t xml:space="preserve"> </w:t>
      </w:r>
      <w:r w:rsidRPr="006F5F57">
        <w:rPr>
          <w:rFonts w:ascii="Arial" w:hAnsi="Arial" w:cs="Arial"/>
          <w:b/>
        </w:rPr>
        <w:t>who collides with a vehicle</w:t>
      </w:r>
      <w:r w:rsidRPr="00425DBD">
        <w:rPr>
          <w:rFonts w:ascii="Arial" w:hAnsi="Arial" w:cs="Arial"/>
        </w:rPr>
        <w:t xml:space="preserve"> described in an owner's certificate, or</w:t>
      </w:r>
    </w:p>
    <w:p w:rsidR="00607568" w:rsidRPr="00425DBD" w:rsidRDefault="00607568" w:rsidP="00607568">
      <w:pPr>
        <w:pStyle w:val="Default"/>
        <w:ind w:left="720"/>
        <w:jc w:val="both"/>
        <w:rPr>
          <w:rFonts w:ascii="Arial" w:hAnsi="Arial" w:cs="Arial"/>
        </w:rPr>
      </w:pPr>
    </w:p>
    <w:p w:rsidR="000B6A1E" w:rsidRPr="00425DBD" w:rsidRDefault="000B6A1E" w:rsidP="00607568">
      <w:pPr>
        <w:pStyle w:val="Default"/>
        <w:ind w:left="720"/>
        <w:jc w:val="both"/>
        <w:rPr>
          <w:rFonts w:ascii="Arial" w:hAnsi="Arial" w:cs="Arial"/>
        </w:rPr>
      </w:pPr>
      <w:r w:rsidRPr="00425DBD">
        <w:rPr>
          <w:rFonts w:ascii="Arial" w:hAnsi="Arial" w:cs="Arial"/>
        </w:rPr>
        <w:t>(f) a resident of the Province who is entitled to bring an action for injury or death und</w:t>
      </w:r>
      <w:r w:rsidR="00607568" w:rsidRPr="00425DBD">
        <w:rPr>
          <w:rFonts w:ascii="Arial" w:hAnsi="Arial" w:cs="Arial"/>
        </w:rPr>
        <w:t xml:space="preserve">er section 20 or 24 of the Act, </w:t>
      </w:r>
      <w:r w:rsidRPr="00425DBD">
        <w:rPr>
          <w:rFonts w:ascii="Arial" w:hAnsi="Arial" w:cs="Arial"/>
        </w:rPr>
        <w:t>and includes the personal representative of a deceased insured;</w:t>
      </w:r>
    </w:p>
    <w:p w:rsidR="000B6A1E" w:rsidRPr="00425DBD" w:rsidRDefault="000B6A1E" w:rsidP="000B6A1E">
      <w:pPr>
        <w:pStyle w:val="Default"/>
        <w:jc w:val="both"/>
        <w:rPr>
          <w:rFonts w:ascii="Arial" w:hAnsi="Arial" w:cs="Arial"/>
        </w:rPr>
      </w:pPr>
    </w:p>
    <w:p w:rsidR="000B6A1E" w:rsidRPr="00425DBD" w:rsidRDefault="00607568" w:rsidP="008F1DCA">
      <w:pPr>
        <w:pStyle w:val="Default"/>
        <w:numPr>
          <w:ilvl w:val="0"/>
          <w:numId w:val="7"/>
        </w:numPr>
        <w:jc w:val="both"/>
        <w:rPr>
          <w:rFonts w:ascii="Arial" w:hAnsi="Arial" w:cs="Arial"/>
        </w:rPr>
      </w:pPr>
      <w:r w:rsidRPr="00425DBD">
        <w:rPr>
          <w:rFonts w:ascii="Arial" w:hAnsi="Arial" w:cs="Arial"/>
        </w:rPr>
        <w:t xml:space="preserve">Essentially, Part 7 benefits are </w:t>
      </w:r>
      <w:r w:rsidR="00C528D9">
        <w:rPr>
          <w:rFonts w:ascii="Arial" w:hAnsi="Arial" w:cs="Arial"/>
        </w:rPr>
        <w:t>meant to be expansive and cover</w:t>
      </w:r>
      <w:r w:rsidRPr="00425DBD">
        <w:rPr>
          <w:rFonts w:ascii="Arial" w:hAnsi="Arial" w:cs="Arial"/>
        </w:rPr>
        <w:t xml:space="preserve"> almost anyone who is injured in a motor vehicle accident </w:t>
      </w:r>
      <w:r w:rsidRPr="00953226">
        <w:rPr>
          <w:rFonts w:ascii="Arial" w:hAnsi="Arial" w:cs="Arial"/>
          <w:b/>
        </w:rPr>
        <w:t xml:space="preserve">regardless of </w:t>
      </w:r>
      <w:r w:rsidR="000B6A1E" w:rsidRPr="00953226">
        <w:rPr>
          <w:rFonts w:ascii="Arial" w:hAnsi="Arial" w:cs="Arial"/>
          <w:b/>
        </w:rPr>
        <w:t>who caused the accident</w:t>
      </w:r>
      <w:r w:rsidRPr="00425DBD">
        <w:rPr>
          <w:rFonts w:ascii="Arial" w:hAnsi="Arial" w:cs="Arial"/>
        </w:rPr>
        <w:t>.</w:t>
      </w:r>
    </w:p>
    <w:p w:rsidR="00607568" w:rsidRPr="00425DBD" w:rsidRDefault="00607568" w:rsidP="008F1DCA">
      <w:pPr>
        <w:pStyle w:val="Default"/>
        <w:ind w:left="360"/>
        <w:jc w:val="both"/>
        <w:rPr>
          <w:rFonts w:ascii="Arial" w:hAnsi="Arial" w:cs="Arial"/>
        </w:rPr>
      </w:pPr>
    </w:p>
    <w:p w:rsidR="00C528D9" w:rsidRPr="00953226" w:rsidRDefault="00607568" w:rsidP="008F1DCA">
      <w:pPr>
        <w:pStyle w:val="Default"/>
        <w:numPr>
          <w:ilvl w:val="0"/>
          <w:numId w:val="7"/>
        </w:numPr>
        <w:jc w:val="both"/>
        <w:rPr>
          <w:rFonts w:ascii="Arial" w:hAnsi="Arial" w:cs="Arial"/>
        </w:rPr>
      </w:pPr>
      <w:r w:rsidRPr="00953226">
        <w:rPr>
          <w:rFonts w:ascii="Arial" w:hAnsi="Arial" w:cs="Arial"/>
        </w:rPr>
        <w:t xml:space="preserve">Examples of </w:t>
      </w:r>
      <w:r w:rsidR="00C528D9" w:rsidRPr="00953226">
        <w:rPr>
          <w:rFonts w:ascii="Arial" w:hAnsi="Arial" w:cs="Arial"/>
        </w:rPr>
        <w:t>scenarios</w:t>
      </w:r>
      <w:r w:rsidRPr="00953226">
        <w:rPr>
          <w:rFonts w:ascii="Arial" w:hAnsi="Arial" w:cs="Arial"/>
        </w:rPr>
        <w:t xml:space="preserve"> where Part 7 does </w:t>
      </w:r>
      <w:r w:rsidRPr="00953226">
        <w:rPr>
          <w:rFonts w:ascii="Arial" w:hAnsi="Arial" w:cs="Arial"/>
          <w:b/>
        </w:rPr>
        <w:t>not</w:t>
      </w:r>
      <w:r w:rsidRPr="00953226">
        <w:rPr>
          <w:rFonts w:ascii="Arial" w:hAnsi="Arial" w:cs="Arial"/>
        </w:rPr>
        <w:t xml:space="preserve"> apply </w:t>
      </w:r>
      <w:r w:rsidR="00F72EB7" w:rsidRPr="00953226">
        <w:rPr>
          <w:rFonts w:ascii="Arial" w:hAnsi="Arial" w:cs="Arial"/>
        </w:rPr>
        <w:t>(most of these involve accidents where there was no motor vehicle involved)</w:t>
      </w:r>
      <w:r w:rsidR="00C528D9" w:rsidRPr="00953226">
        <w:rPr>
          <w:rFonts w:ascii="Arial" w:hAnsi="Arial" w:cs="Arial"/>
        </w:rPr>
        <w:t xml:space="preserve">: </w:t>
      </w:r>
    </w:p>
    <w:p w:rsidR="00C528D9" w:rsidRDefault="00C528D9" w:rsidP="00C528D9">
      <w:pPr>
        <w:pStyle w:val="ListParagraph"/>
        <w:rPr>
          <w:rFonts w:ascii="Arial" w:hAnsi="Arial" w:cs="Arial"/>
        </w:rPr>
      </w:pPr>
    </w:p>
    <w:p w:rsidR="00C528D9" w:rsidRDefault="00C528D9" w:rsidP="00C528D9">
      <w:pPr>
        <w:pStyle w:val="Default"/>
        <w:numPr>
          <w:ilvl w:val="1"/>
          <w:numId w:val="7"/>
        </w:numPr>
        <w:jc w:val="both"/>
        <w:rPr>
          <w:rFonts w:ascii="Arial" w:hAnsi="Arial" w:cs="Arial"/>
        </w:rPr>
      </w:pPr>
      <w:r>
        <w:rPr>
          <w:rFonts w:ascii="Arial" w:hAnsi="Arial" w:cs="Arial"/>
        </w:rPr>
        <w:t>C</w:t>
      </w:r>
      <w:r w:rsidR="00953226">
        <w:rPr>
          <w:rFonts w:ascii="Arial" w:hAnsi="Arial" w:cs="Arial"/>
        </w:rPr>
        <w:t>yclist</w:t>
      </w:r>
      <w:r w:rsidR="00607568" w:rsidRPr="00425DBD">
        <w:rPr>
          <w:rFonts w:ascii="Arial" w:hAnsi="Arial" w:cs="Arial"/>
        </w:rPr>
        <w:t xml:space="preserve"> crashes on the road</w:t>
      </w:r>
      <w:r w:rsidR="006F5F57">
        <w:rPr>
          <w:rFonts w:ascii="Arial" w:hAnsi="Arial" w:cs="Arial"/>
        </w:rPr>
        <w:t xml:space="preserve"> </w:t>
      </w:r>
      <w:r w:rsidR="00953226">
        <w:rPr>
          <w:rFonts w:ascii="Arial" w:hAnsi="Arial" w:cs="Arial"/>
        </w:rPr>
        <w:t>with</w:t>
      </w:r>
      <w:r>
        <w:rPr>
          <w:rFonts w:ascii="Arial" w:hAnsi="Arial" w:cs="Arial"/>
        </w:rPr>
        <w:t xml:space="preserve"> </w:t>
      </w:r>
      <w:r w:rsidR="00953226">
        <w:rPr>
          <w:rFonts w:ascii="Arial" w:hAnsi="Arial" w:cs="Arial"/>
        </w:rPr>
        <w:t>no motor vehicle involvement</w:t>
      </w:r>
      <w:r>
        <w:rPr>
          <w:rFonts w:ascii="Arial" w:hAnsi="Arial" w:cs="Arial"/>
        </w:rPr>
        <w:t xml:space="preserve">; </w:t>
      </w:r>
    </w:p>
    <w:p w:rsidR="00607568" w:rsidRDefault="00C528D9" w:rsidP="00C528D9">
      <w:pPr>
        <w:pStyle w:val="Default"/>
        <w:numPr>
          <w:ilvl w:val="1"/>
          <w:numId w:val="7"/>
        </w:numPr>
        <w:jc w:val="both"/>
        <w:rPr>
          <w:rFonts w:ascii="Arial" w:hAnsi="Arial" w:cs="Arial"/>
        </w:rPr>
      </w:pPr>
      <w:r>
        <w:rPr>
          <w:rFonts w:ascii="Arial" w:hAnsi="Arial" w:cs="Arial"/>
        </w:rPr>
        <w:t>R</w:t>
      </w:r>
      <w:r w:rsidR="00607568" w:rsidRPr="00425DBD">
        <w:rPr>
          <w:rFonts w:ascii="Arial" w:hAnsi="Arial" w:cs="Arial"/>
        </w:rPr>
        <w:t xml:space="preserve">oad rage where the </w:t>
      </w:r>
      <w:r>
        <w:rPr>
          <w:rFonts w:ascii="Arial" w:hAnsi="Arial" w:cs="Arial"/>
        </w:rPr>
        <w:t xml:space="preserve">related </w:t>
      </w:r>
      <w:r w:rsidR="00607568" w:rsidRPr="00425DBD">
        <w:rPr>
          <w:rFonts w:ascii="Arial" w:hAnsi="Arial" w:cs="Arial"/>
        </w:rPr>
        <w:t xml:space="preserve">assault occurs outside </w:t>
      </w:r>
      <w:r>
        <w:rPr>
          <w:rFonts w:ascii="Arial" w:hAnsi="Arial" w:cs="Arial"/>
        </w:rPr>
        <w:t xml:space="preserve">of </w:t>
      </w:r>
      <w:r w:rsidR="00607568" w:rsidRPr="00425DBD">
        <w:rPr>
          <w:rFonts w:ascii="Arial" w:hAnsi="Arial" w:cs="Arial"/>
        </w:rPr>
        <w:t>the vehicl</w:t>
      </w:r>
      <w:r w:rsidR="00F72EB7" w:rsidRPr="00425DBD">
        <w:rPr>
          <w:rFonts w:ascii="Arial" w:hAnsi="Arial" w:cs="Arial"/>
        </w:rPr>
        <w:t xml:space="preserve">e; </w:t>
      </w:r>
    </w:p>
    <w:p w:rsidR="00C528D9" w:rsidRPr="00425DBD" w:rsidRDefault="00C528D9" w:rsidP="00C528D9">
      <w:pPr>
        <w:pStyle w:val="Default"/>
        <w:numPr>
          <w:ilvl w:val="1"/>
          <w:numId w:val="7"/>
        </w:numPr>
        <w:jc w:val="both"/>
        <w:rPr>
          <w:rFonts w:ascii="Arial" w:hAnsi="Arial" w:cs="Arial"/>
        </w:rPr>
      </w:pPr>
      <w:r>
        <w:rPr>
          <w:rFonts w:ascii="Arial" w:hAnsi="Arial" w:cs="Arial"/>
        </w:rPr>
        <w:t xml:space="preserve">The injured person is in the course and scope of his / her employment and may be a worker under the </w:t>
      </w:r>
      <w:r>
        <w:rPr>
          <w:rFonts w:ascii="Arial" w:hAnsi="Arial" w:cs="Arial"/>
          <w:i/>
        </w:rPr>
        <w:t xml:space="preserve">Workers Compensation </w:t>
      </w:r>
      <w:r>
        <w:rPr>
          <w:rFonts w:ascii="Arial" w:hAnsi="Arial" w:cs="Arial"/>
        </w:rPr>
        <w:t>regime.</w:t>
      </w:r>
    </w:p>
    <w:p w:rsidR="000B6A1E" w:rsidRPr="00425DBD" w:rsidRDefault="000B6A1E" w:rsidP="008F1DCA">
      <w:pPr>
        <w:pStyle w:val="Default"/>
        <w:jc w:val="both"/>
        <w:rPr>
          <w:rFonts w:ascii="Arial" w:hAnsi="Arial" w:cs="Arial"/>
        </w:rPr>
      </w:pPr>
    </w:p>
    <w:p w:rsidR="000B6A1E" w:rsidRDefault="000B6A1E" w:rsidP="008F1DCA">
      <w:pPr>
        <w:pStyle w:val="Default"/>
        <w:numPr>
          <w:ilvl w:val="0"/>
          <w:numId w:val="7"/>
        </w:numPr>
        <w:jc w:val="both"/>
        <w:rPr>
          <w:rFonts w:ascii="Arial" w:hAnsi="Arial" w:cs="Arial"/>
        </w:rPr>
      </w:pPr>
      <w:r w:rsidRPr="00425DBD">
        <w:rPr>
          <w:rFonts w:ascii="Arial" w:hAnsi="Arial" w:cs="Arial"/>
          <w:i/>
        </w:rPr>
        <w:t xml:space="preserve">What </w:t>
      </w:r>
      <w:r w:rsidR="00F72EB7" w:rsidRPr="00425DBD">
        <w:rPr>
          <w:rFonts w:ascii="Arial" w:hAnsi="Arial" w:cs="Arial"/>
          <w:i/>
        </w:rPr>
        <w:t>Accidents Benefits are included in Part 7</w:t>
      </w:r>
      <w:r w:rsidR="00F72EB7" w:rsidRPr="00425DBD">
        <w:rPr>
          <w:rFonts w:ascii="Arial" w:hAnsi="Arial" w:cs="Arial"/>
        </w:rPr>
        <w:t>? Disability benefits, medical and rehabilitation benefits, funeral and death benefits.</w:t>
      </w:r>
    </w:p>
    <w:p w:rsidR="006F5F57" w:rsidRDefault="006F5F57" w:rsidP="006F5F57">
      <w:pPr>
        <w:pStyle w:val="ListParagraph"/>
        <w:rPr>
          <w:rFonts w:ascii="Arial" w:hAnsi="Arial" w:cs="Arial"/>
        </w:rPr>
      </w:pPr>
    </w:p>
    <w:p w:rsidR="006F5F57" w:rsidRDefault="00C528D9" w:rsidP="0015793F">
      <w:pPr>
        <w:pStyle w:val="Default"/>
        <w:numPr>
          <w:ilvl w:val="0"/>
          <w:numId w:val="7"/>
        </w:numPr>
        <w:jc w:val="both"/>
        <w:rPr>
          <w:rFonts w:ascii="Arial" w:hAnsi="Arial" w:cs="Arial"/>
        </w:rPr>
      </w:pPr>
      <w:r>
        <w:rPr>
          <w:rFonts w:ascii="Arial" w:hAnsi="Arial" w:cs="Arial"/>
        </w:rPr>
        <w:t>The</w:t>
      </w:r>
      <w:r w:rsidR="006F5F57" w:rsidRPr="006F5F57">
        <w:rPr>
          <w:rFonts w:ascii="Arial" w:hAnsi="Arial" w:cs="Arial"/>
        </w:rPr>
        <w:t xml:space="preserve"> maximum </w:t>
      </w:r>
      <w:r w:rsidR="00544CB9">
        <w:rPr>
          <w:rFonts w:ascii="Arial" w:hAnsi="Arial" w:cs="Arial"/>
        </w:rPr>
        <w:t xml:space="preserve">lifetime </w:t>
      </w:r>
      <w:r w:rsidR="006F5F57" w:rsidRPr="006F5F57">
        <w:rPr>
          <w:rFonts w:ascii="Arial" w:hAnsi="Arial" w:cs="Arial"/>
        </w:rPr>
        <w:t xml:space="preserve">allowance </w:t>
      </w:r>
      <w:r>
        <w:rPr>
          <w:rFonts w:ascii="Arial" w:hAnsi="Arial" w:cs="Arial"/>
        </w:rPr>
        <w:t>is now</w:t>
      </w:r>
      <w:r w:rsidR="006F5F57" w:rsidRPr="006F5F57">
        <w:rPr>
          <w:rFonts w:ascii="Arial" w:hAnsi="Arial" w:cs="Arial"/>
        </w:rPr>
        <w:t xml:space="preserve"> doubled from $1</w:t>
      </w:r>
      <w:r w:rsidR="00544CB9">
        <w:rPr>
          <w:rFonts w:ascii="Arial" w:hAnsi="Arial" w:cs="Arial"/>
        </w:rPr>
        <w:t>50,000 to $300,000. This change</w:t>
      </w:r>
      <w:r>
        <w:rPr>
          <w:rFonts w:ascii="Arial" w:hAnsi="Arial" w:cs="Arial"/>
        </w:rPr>
        <w:t xml:space="preserve"> is</w:t>
      </w:r>
      <w:r w:rsidR="00544CB9">
        <w:rPr>
          <w:rFonts w:ascii="Arial" w:hAnsi="Arial" w:cs="Arial"/>
        </w:rPr>
        <w:t xml:space="preserve"> </w:t>
      </w:r>
      <w:r w:rsidR="006F5F57" w:rsidRPr="006F5F57">
        <w:rPr>
          <w:rFonts w:ascii="Arial" w:hAnsi="Arial" w:cs="Arial"/>
        </w:rPr>
        <w:t xml:space="preserve">retroactive to January 1, 2018.  </w:t>
      </w:r>
    </w:p>
    <w:p w:rsidR="006F5F57" w:rsidRDefault="006F5F57" w:rsidP="006F5F57">
      <w:pPr>
        <w:pStyle w:val="ListParagraph"/>
        <w:rPr>
          <w:rFonts w:ascii="Arial" w:hAnsi="Arial" w:cs="Arial"/>
        </w:rPr>
      </w:pPr>
    </w:p>
    <w:p w:rsidR="006F5F57" w:rsidRDefault="006F5F57" w:rsidP="006F5F57">
      <w:pPr>
        <w:pStyle w:val="Default"/>
        <w:numPr>
          <w:ilvl w:val="1"/>
          <w:numId w:val="7"/>
        </w:numPr>
        <w:jc w:val="both"/>
        <w:rPr>
          <w:rFonts w:ascii="Arial" w:hAnsi="Arial" w:cs="Arial"/>
        </w:rPr>
      </w:pPr>
      <w:r w:rsidRPr="006F5F57">
        <w:rPr>
          <w:rFonts w:ascii="Arial" w:hAnsi="Arial" w:cs="Arial"/>
        </w:rPr>
        <w:t xml:space="preserve">See: </w:t>
      </w:r>
      <w:hyperlink r:id="rId12" w:history="1">
        <w:r w:rsidRPr="006F5F57">
          <w:rPr>
            <w:rStyle w:val="Hyperlink"/>
            <w:rFonts w:ascii="Arial" w:hAnsi="Arial" w:cs="Arial"/>
          </w:rPr>
          <w:t>https://news.gov.bc.ca/releases/2018AG0003-000164</w:t>
        </w:r>
      </w:hyperlink>
      <w:r w:rsidRPr="006F5F57">
        <w:rPr>
          <w:rFonts w:ascii="Arial" w:hAnsi="Arial" w:cs="Arial"/>
        </w:rPr>
        <w:t xml:space="preserve"> </w:t>
      </w:r>
    </w:p>
    <w:p w:rsidR="00544CB9" w:rsidRDefault="00544CB9" w:rsidP="006F5F57">
      <w:pPr>
        <w:pStyle w:val="Default"/>
        <w:numPr>
          <w:ilvl w:val="1"/>
          <w:numId w:val="7"/>
        </w:numPr>
        <w:jc w:val="both"/>
        <w:rPr>
          <w:rFonts w:ascii="Arial" w:hAnsi="Arial" w:cs="Arial"/>
        </w:rPr>
      </w:pPr>
      <w:r>
        <w:rPr>
          <w:rFonts w:ascii="Arial" w:hAnsi="Arial" w:cs="Arial"/>
        </w:rPr>
        <w:t>Part 7 benefits hadn’t been increased since 1991</w:t>
      </w:r>
    </w:p>
    <w:p w:rsidR="00544CB9" w:rsidRDefault="00544CB9" w:rsidP="006F5F57">
      <w:pPr>
        <w:pStyle w:val="Default"/>
        <w:numPr>
          <w:ilvl w:val="1"/>
          <w:numId w:val="7"/>
        </w:numPr>
        <w:jc w:val="both"/>
        <w:rPr>
          <w:rFonts w:ascii="Arial" w:hAnsi="Arial" w:cs="Arial"/>
        </w:rPr>
      </w:pPr>
      <w:r>
        <w:rPr>
          <w:rFonts w:ascii="Arial" w:hAnsi="Arial" w:cs="Arial"/>
        </w:rPr>
        <w:t>The variety of treatment services covered is also expanded</w:t>
      </w:r>
    </w:p>
    <w:p w:rsidR="00544CB9" w:rsidRDefault="00544CB9" w:rsidP="006F5F57">
      <w:pPr>
        <w:pStyle w:val="Default"/>
        <w:numPr>
          <w:ilvl w:val="1"/>
          <w:numId w:val="7"/>
        </w:numPr>
        <w:jc w:val="both"/>
        <w:rPr>
          <w:rFonts w:ascii="Arial" w:hAnsi="Arial" w:cs="Arial"/>
        </w:rPr>
      </w:pPr>
      <w:r>
        <w:rPr>
          <w:rFonts w:ascii="Arial" w:hAnsi="Arial" w:cs="Arial"/>
        </w:rPr>
        <w:t xml:space="preserve">The government </w:t>
      </w:r>
      <w:r w:rsidR="00953226">
        <w:rPr>
          <w:rFonts w:ascii="Arial" w:hAnsi="Arial" w:cs="Arial"/>
        </w:rPr>
        <w:t xml:space="preserve">also </w:t>
      </w:r>
      <w:r w:rsidR="00C528D9">
        <w:rPr>
          <w:rFonts w:ascii="Arial" w:hAnsi="Arial" w:cs="Arial"/>
        </w:rPr>
        <w:t>pays a</w:t>
      </w:r>
      <w:r w:rsidR="00953226">
        <w:rPr>
          <w:rFonts w:ascii="Arial" w:hAnsi="Arial" w:cs="Arial"/>
        </w:rPr>
        <w:t xml:space="preserve"> larger share of the cost</w:t>
      </w:r>
      <w:r>
        <w:rPr>
          <w:rFonts w:ascii="Arial" w:hAnsi="Arial" w:cs="Arial"/>
        </w:rPr>
        <w:t>, reducing user fees / out-of-pocket expenses for the injured individual</w:t>
      </w:r>
    </w:p>
    <w:p w:rsidR="00544CB9" w:rsidRDefault="00544CB9" w:rsidP="006F5F57">
      <w:pPr>
        <w:pStyle w:val="Default"/>
        <w:numPr>
          <w:ilvl w:val="1"/>
          <w:numId w:val="7"/>
        </w:numPr>
        <w:jc w:val="both"/>
        <w:rPr>
          <w:rFonts w:ascii="Arial" w:hAnsi="Arial" w:cs="Arial"/>
        </w:rPr>
      </w:pPr>
      <w:r>
        <w:rPr>
          <w:rFonts w:ascii="Arial" w:hAnsi="Arial" w:cs="Arial"/>
        </w:rPr>
        <w:t>Wage loss, home support, funeral costs, and death be</w:t>
      </w:r>
      <w:r w:rsidR="00C528D9">
        <w:rPr>
          <w:rFonts w:ascii="Arial" w:hAnsi="Arial" w:cs="Arial"/>
        </w:rPr>
        <w:t>nefits have also been increased</w:t>
      </w:r>
      <w:r>
        <w:rPr>
          <w:rFonts w:ascii="Arial" w:hAnsi="Arial" w:cs="Arial"/>
        </w:rPr>
        <w:t>.</w:t>
      </w:r>
    </w:p>
    <w:p w:rsidR="00F72EB7" w:rsidRPr="00425DBD" w:rsidRDefault="00F72EB7" w:rsidP="008F1DCA">
      <w:pPr>
        <w:pStyle w:val="ListParagraph"/>
        <w:rPr>
          <w:rFonts w:ascii="Arial" w:hAnsi="Arial" w:cs="Arial"/>
        </w:rPr>
      </w:pPr>
    </w:p>
    <w:p w:rsidR="00F72EB7" w:rsidRPr="00425DBD" w:rsidRDefault="00F72EB7" w:rsidP="008F1DCA">
      <w:pPr>
        <w:pStyle w:val="Default"/>
        <w:numPr>
          <w:ilvl w:val="0"/>
          <w:numId w:val="7"/>
        </w:numPr>
        <w:jc w:val="both"/>
        <w:rPr>
          <w:rFonts w:ascii="Arial" w:hAnsi="Arial" w:cs="Arial"/>
          <w:b/>
        </w:rPr>
      </w:pPr>
      <w:r w:rsidRPr="00425DBD">
        <w:rPr>
          <w:rFonts w:ascii="Arial" w:hAnsi="Arial" w:cs="Arial"/>
          <w:b/>
        </w:rPr>
        <w:t>Disability benefits for employed persons</w:t>
      </w:r>
      <w:r w:rsidR="00544CB9">
        <w:rPr>
          <w:rFonts w:ascii="Arial" w:hAnsi="Arial" w:cs="Arial"/>
          <w:b/>
        </w:rPr>
        <w:t xml:space="preserve"> (as the legislation currently reads)</w:t>
      </w:r>
      <w:r w:rsidRPr="00425DBD">
        <w:rPr>
          <w:rFonts w:ascii="Arial" w:hAnsi="Arial" w:cs="Arial"/>
          <w:b/>
        </w:rPr>
        <w:t>:</w:t>
      </w:r>
    </w:p>
    <w:p w:rsidR="000B6A1E" w:rsidRPr="00425DBD" w:rsidRDefault="000B6A1E" w:rsidP="000B6A1E">
      <w:pPr>
        <w:pStyle w:val="Default"/>
        <w:jc w:val="both"/>
        <w:rPr>
          <w:rFonts w:ascii="Arial" w:hAnsi="Arial" w:cs="Arial"/>
        </w:rPr>
      </w:pPr>
    </w:p>
    <w:p w:rsidR="00F72EB7" w:rsidRPr="00544CB9" w:rsidRDefault="00F72EB7" w:rsidP="00F72EB7">
      <w:pPr>
        <w:pStyle w:val="Default"/>
        <w:ind w:left="720"/>
        <w:jc w:val="both"/>
        <w:rPr>
          <w:rFonts w:ascii="Arial" w:hAnsi="Arial" w:cs="Arial"/>
          <w:b/>
        </w:rPr>
      </w:pPr>
      <w:r w:rsidRPr="00425DBD">
        <w:rPr>
          <w:rFonts w:ascii="Arial" w:hAnsi="Arial" w:cs="Arial"/>
        </w:rPr>
        <w:t xml:space="preserve">80 (1)  Where, </w:t>
      </w:r>
      <w:r w:rsidRPr="00425DBD">
        <w:rPr>
          <w:rFonts w:ascii="Arial" w:hAnsi="Arial" w:cs="Arial"/>
          <w:i/>
        </w:rPr>
        <w:t>within 20 days after an accident</w:t>
      </w:r>
      <w:r w:rsidRPr="00425DBD">
        <w:rPr>
          <w:rFonts w:ascii="Arial" w:hAnsi="Arial" w:cs="Arial"/>
        </w:rPr>
        <w:t xml:space="preserve"> for which benefits are provided under this Part, an injury sustained in the accident </w:t>
      </w:r>
      <w:r w:rsidRPr="00425DBD">
        <w:rPr>
          <w:rFonts w:ascii="Arial" w:hAnsi="Arial" w:cs="Arial"/>
          <w:i/>
        </w:rPr>
        <w:t>totally disables an insured</w:t>
      </w:r>
      <w:r w:rsidRPr="00425DBD">
        <w:rPr>
          <w:rFonts w:ascii="Arial" w:hAnsi="Arial" w:cs="Arial"/>
        </w:rPr>
        <w:t xml:space="preserve"> who is an </w:t>
      </w:r>
      <w:r w:rsidRPr="00425DBD">
        <w:rPr>
          <w:rFonts w:ascii="Arial" w:hAnsi="Arial" w:cs="Arial"/>
          <w:i/>
        </w:rPr>
        <w:t>employed person</w:t>
      </w:r>
      <w:r w:rsidRPr="00425DBD">
        <w:rPr>
          <w:rFonts w:ascii="Arial" w:hAnsi="Arial" w:cs="Arial"/>
        </w:rPr>
        <w:t xml:space="preserve"> from engaging in employment or an occupation for which the insured is reasonably suited by education, training or experience, the corporation shall, subject to section 85, pay to the insured for the duration of the total disability or 104 weeks, whichever is shorter, the lesser of the amounts determined under paragraphs (a) and (b): Note that ICBC’s maximum payment is $300 </w:t>
      </w:r>
      <w:r w:rsidR="008F1DCA" w:rsidRPr="00425DBD">
        <w:rPr>
          <w:rFonts w:ascii="Arial" w:hAnsi="Arial" w:cs="Arial"/>
        </w:rPr>
        <w:t>per week as defined in section 2 of Schedule 3.</w:t>
      </w:r>
      <w:r w:rsidR="00544CB9">
        <w:rPr>
          <w:rFonts w:ascii="Arial" w:hAnsi="Arial" w:cs="Arial"/>
        </w:rPr>
        <w:t xml:space="preserve"> </w:t>
      </w:r>
      <w:r w:rsidR="00544CB9">
        <w:rPr>
          <w:rFonts w:ascii="Arial" w:hAnsi="Arial" w:cs="Arial"/>
          <w:b/>
        </w:rPr>
        <w:t xml:space="preserve">(*The NDP </w:t>
      </w:r>
      <w:r w:rsidR="00C528D9">
        <w:rPr>
          <w:rFonts w:ascii="Arial" w:hAnsi="Arial" w:cs="Arial"/>
          <w:b/>
        </w:rPr>
        <w:t>has now doubled</w:t>
      </w:r>
      <w:r w:rsidR="00544CB9">
        <w:rPr>
          <w:rFonts w:ascii="Arial" w:hAnsi="Arial" w:cs="Arial"/>
          <w:b/>
        </w:rPr>
        <w:t xml:space="preserve"> this to $740/week).</w:t>
      </w:r>
    </w:p>
    <w:p w:rsidR="00F72EB7" w:rsidRPr="00425DBD" w:rsidRDefault="00F72EB7" w:rsidP="00F72EB7">
      <w:pPr>
        <w:pStyle w:val="Default"/>
        <w:ind w:left="1080"/>
        <w:jc w:val="both"/>
        <w:rPr>
          <w:rFonts w:ascii="Arial" w:hAnsi="Arial" w:cs="Arial"/>
        </w:rPr>
      </w:pPr>
    </w:p>
    <w:p w:rsidR="008F1DCA" w:rsidRPr="00425DBD" w:rsidRDefault="008F1DCA" w:rsidP="008F1DCA">
      <w:pPr>
        <w:pStyle w:val="Default"/>
        <w:numPr>
          <w:ilvl w:val="0"/>
          <w:numId w:val="11"/>
        </w:numPr>
        <w:jc w:val="both"/>
        <w:rPr>
          <w:rFonts w:ascii="Arial" w:hAnsi="Arial" w:cs="Arial"/>
        </w:rPr>
      </w:pPr>
      <w:r w:rsidRPr="00425DBD">
        <w:rPr>
          <w:rFonts w:ascii="Arial" w:hAnsi="Arial" w:cs="Arial"/>
        </w:rPr>
        <w:t>The amount owing is “calculated by taking 75% of the insured's gross earnings for the 12 month period immediately preceding the accident and dividing by the number of weeks actually worked during that period”.  Provided the plaintiff is av</w:t>
      </w:r>
      <w:r w:rsidR="00C528D9">
        <w:rPr>
          <w:rFonts w:ascii="Arial" w:hAnsi="Arial" w:cs="Arial"/>
        </w:rPr>
        <w:t xml:space="preserve">eraging more than $300 per week, </w:t>
      </w:r>
      <w:r w:rsidRPr="00425DBD">
        <w:rPr>
          <w:rFonts w:ascii="Arial" w:hAnsi="Arial" w:cs="Arial"/>
        </w:rPr>
        <w:t>they receive the maximum amount from ICBC.</w:t>
      </w:r>
    </w:p>
    <w:p w:rsidR="008F1DCA" w:rsidRPr="00425DBD" w:rsidRDefault="008F1DCA" w:rsidP="008F1DCA">
      <w:pPr>
        <w:pStyle w:val="Default"/>
        <w:ind w:left="360"/>
        <w:jc w:val="both"/>
        <w:rPr>
          <w:rFonts w:ascii="Arial" w:hAnsi="Arial" w:cs="Arial"/>
        </w:rPr>
      </w:pPr>
    </w:p>
    <w:p w:rsidR="008F1DCA" w:rsidRPr="00425DBD" w:rsidRDefault="008F1DCA" w:rsidP="008F1DCA">
      <w:pPr>
        <w:pStyle w:val="Default"/>
        <w:numPr>
          <w:ilvl w:val="0"/>
          <w:numId w:val="11"/>
        </w:numPr>
        <w:jc w:val="both"/>
        <w:rPr>
          <w:rFonts w:ascii="Arial" w:hAnsi="Arial" w:cs="Arial"/>
        </w:rPr>
      </w:pPr>
      <w:r w:rsidRPr="00425DBD">
        <w:rPr>
          <w:rFonts w:ascii="Arial" w:hAnsi="Arial" w:cs="Arial"/>
          <w:b/>
        </w:rPr>
        <w:t>Deduction of other benefits</w:t>
      </w:r>
      <w:r w:rsidRPr="00425DBD">
        <w:rPr>
          <w:rFonts w:ascii="Arial" w:hAnsi="Arial" w:cs="Arial"/>
        </w:rPr>
        <w:t xml:space="preserve"> – Section 81 confirms that </w:t>
      </w:r>
      <w:r w:rsidRPr="00544CB9">
        <w:rPr>
          <w:rFonts w:ascii="Arial" w:hAnsi="Arial" w:cs="Arial"/>
          <w:i/>
        </w:rPr>
        <w:t>Part 7 benefits are secondary</w:t>
      </w:r>
      <w:r w:rsidRPr="00425DBD">
        <w:rPr>
          <w:rFonts w:ascii="Arial" w:hAnsi="Arial" w:cs="Arial"/>
        </w:rPr>
        <w:t xml:space="preserve"> and paid only after deducting other benefits payable to the claimant.</w:t>
      </w:r>
    </w:p>
    <w:p w:rsidR="008F1DCA" w:rsidRPr="00425DBD" w:rsidRDefault="008F1DCA" w:rsidP="008F1DCA">
      <w:pPr>
        <w:pStyle w:val="ListParagraph"/>
        <w:rPr>
          <w:rFonts w:ascii="Arial" w:hAnsi="Arial" w:cs="Arial"/>
        </w:rPr>
      </w:pPr>
    </w:p>
    <w:p w:rsidR="00953226" w:rsidRDefault="008F1DCA" w:rsidP="008F1DCA">
      <w:pPr>
        <w:pStyle w:val="Default"/>
        <w:numPr>
          <w:ilvl w:val="0"/>
          <w:numId w:val="11"/>
        </w:numPr>
        <w:jc w:val="both"/>
        <w:rPr>
          <w:rFonts w:ascii="Arial" w:hAnsi="Arial" w:cs="Arial"/>
        </w:rPr>
      </w:pPr>
      <w:r w:rsidRPr="00425DBD">
        <w:rPr>
          <w:rFonts w:ascii="Arial" w:hAnsi="Arial" w:cs="Arial"/>
          <w:b/>
        </w:rPr>
        <w:t xml:space="preserve">Payments under </w:t>
      </w:r>
      <w:r w:rsidRPr="00544CB9">
        <w:rPr>
          <w:rFonts w:ascii="Arial" w:hAnsi="Arial" w:cs="Arial"/>
          <w:b/>
          <w:i/>
        </w:rPr>
        <w:t>Workers Compensation Act</w:t>
      </w:r>
      <w:r w:rsidRPr="00544CB9">
        <w:rPr>
          <w:rFonts w:ascii="Arial" w:hAnsi="Arial" w:cs="Arial"/>
          <w:i/>
        </w:rPr>
        <w:t>:</w:t>
      </w:r>
      <w:r w:rsidRPr="00425DBD">
        <w:rPr>
          <w:rFonts w:ascii="Arial" w:hAnsi="Arial" w:cs="Arial"/>
        </w:rPr>
        <w:t xml:space="preserve"> Section 82 states: Where an insured who is a worker to whom the Workers Compensation Act or a similar law of another jurisdiction applies is injured or killed in the course of his employment, </w:t>
      </w:r>
      <w:r w:rsidRPr="00953226">
        <w:rPr>
          <w:rFonts w:ascii="Arial" w:hAnsi="Arial" w:cs="Arial"/>
          <w:b/>
        </w:rPr>
        <w:t>the corporation is not liable to pay benefits under this Part</w:t>
      </w:r>
      <w:r w:rsidRPr="00425DBD">
        <w:rPr>
          <w:rFonts w:ascii="Arial" w:hAnsi="Arial" w:cs="Arial"/>
        </w:rPr>
        <w:t xml:space="preserve"> for the injury or death, notwithstanding that the insured, his spouse or personal representative, has elected not to claim or has forfeited the insured's claim under the Workers Compensation Act or other similar law for the injury or death, except to the extent that the amount of any benefit payable under this Part exceeds the amount that would be payable to the insured, his spouse or personal representative under the Workers Compensation Act or other similar law for the same injury or death.</w:t>
      </w:r>
      <w:r w:rsidR="002B770B" w:rsidRPr="00425DBD">
        <w:rPr>
          <w:rFonts w:ascii="Arial" w:hAnsi="Arial" w:cs="Arial"/>
        </w:rPr>
        <w:t xml:space="preserve"> </w:t>
      </w:r>
    </w:p>
    <w:p w:rsidR="00953226" w:rsidRDefault="00953226" w:rsidP="00953226">
      <w:pPr>
        <w:pStyle w:val="ListParagraph"/>
        <w:rPr>
          <w:rFonts w:ascii="Arial" w:hAnsi="Arial" w:cs="Arial"/>
          <w:i/>
        </w:rPr>
      </w:pPr>
    </w:p>
    <w:p w:rsidR="008F1DCA" w:rsidRPr="005D1427" w:rsidRDefault="002B770B" w:rsidP="00953226">
      <w:pPr>
        <w:pStyle w:val="Default"/>
        <w:numPr>
          <w:ilvl w:val="1"/>
          <w:numId w:val="11"/>
        </w:numPr>
        <w:jc w:val="both"/>
        <w:rPr>
          <w:rFonts w:ascii="Arial" w:hAnsi="Arial" w:cs="Arial"/>
        </w:rPr>
      </w:pPr>
      <w:r w:rsidRPr="00425DBD">
        <w:rPr>
          <w:rFonts w:ascii="Arial" w:hAnsi="Arial" w:cs="Arial"/>
          <w:i/>
        </w:rPr>
        <w:t xml:space="preserve">Note that this </w:t>
      </w:r>
      <w:r w:rsidR="00953226">
        <w:rPr>
          <w:rFonts w:ascii="Arial" w:hAnsi="Arial" w:cs="Arial"/>
          <w:i/>
        </w:rPr>
        <w:t xml:space="preserve">exclusion </w:t>
      </w:r>
      <w:r w:rsidRPr="00425DBD">
        <w:rPr>
          <w:rFonts w:ascii="Arial" w:hAnsi="Arial" w:cs="Arial"/>
          <w:i/>
        </w:rPr>
        <w:t xml:space="preserve">creates a huge issue for many claimants who are workers at the time of the accident </w:t>
      </w:r>
      <w:r w:rsidR="00953226">
        <w:rPr>
          <w:rFonts w:ascii="Arial" w:hAnsi="Arial" w:cs="Arial"/>
          <w:i/>
        </w:rPr>
        <w:t>but</w:t>
      </w:r>
      <w:r w:rsidRPr="00425DBD">
        <w:rPr>
          <w:rFonts w:ascii="Arial" w:hAnsi="Arial" w:cs="Arial"/>
          <w:i/>
        </w:rPr>
        <w:t xml:space="preserve"> elect to proceed with the ICBC case instead of through WCB because they may not have disability benefits </w:t>
      </w:r>
      <w:r w:rsidR="00953226">
        <w:rPr>
          <w:rFonts w:ascii="Arial" w:hAnsi="Arial" w:cs="Arial"/>
          <w:i/>
        </w:rPr>
        <w:t>to help them survive through the litigation</w:t>
      </w:r>
      <w:r w:rsidRPr="00425DBD">
        <w:rPr>
          <w:rFonts w:ascii="Arial" w:hAnsi="Arial" w:cs="Arial"/>
          <w:i/>
        </w:rPr>
        <w:t xml:space="preserve"> of the</w:t>
      </w:r>
      <w:r w:rsidR="00953226">
        <w:rPr>
          <w:rFonts w:ascii="Arial" w:hAnsi="Arial" w:cs="Arial"/>
          <w:i/>
        </w:rPr>
        <w:t>ir ICBC</w:t>
      </w:r>
      <w:r w:rsidRPr="00425DBD">
        <w:rPr>
          <w:rFonts w:ascii="Arial" w:hAnsi="Arial" w:cs="Arial"/>
          <w:i/>
        </w:rPr>
        <w:t xml:space="preserve"> claim.</w:t>
      </w:r>
    </w:p>
    <w:p w:rsidR="005D1427" w:rsidRDefault="005D1427" w:rsidP="005D1427">
      <w:pPr>
        <w:pStyle w:val="ListParagraph"/>
        <w:rPr>
          <w:rFonts w:ascii="Arial" w:hAnsi="Arial" w:cs="Arial"/>
        </w:rPr>
      </w:pPr>
    </w:p>
    <w:p w:rsidR="005D1427" w:rsidRDefault="005D1427" w:rsidP="008F1DCA">
      <w:pPr>
        <w:pStyle w:val="Default"/>
        <w:numPr>
          <w:ilvl w:val="0"/>
          <w:numId w:val="11"/>
        </w:numPr>
        <w:jc w:val="both"/>
        <w:rPr>
          <w:rFonts w:ascii="Arial" w:hAnsi="Arial" w:cs="Arial"/>
        </w:rPr>
      </w:pPr>
      <w:r w:rsidRPr="005D1427">
        <w:rPr>
          <w:rFonts w:ascii="Arial" w:hAnsi="Arial" w:cs="Arial"/>
          <w:b/>
        </w:rPr>
        <w:t>S.</w:t>
      </w:r>
      <w:r>
        <w:rPr>
          <w:rFonts w:ascii="Arial" w:hAnsi="Arial" w:cs="Arial"/>
          <w:b/>
        </w:rPr>
        <w:t xml:space="preserve"> 83(5) </w:t>
      </w:r>
      <w:r w:rsidRPr="005D1427">
        <w:rPr>
          <w:rFonts w:ascii="Arial" w:hAnsi="Arial" w:cs="Arial"/>
          <w:b/>
        </w:rPr>
        <w:t xml:space="preserve"> – </w:t>
      </w:r>
      <w:r>
        <w:rPr>
          <w:rFonts w:ascii="Arial" w:hAnsi="Arial" w:cs="Arial"/>
          <w:b/>
        </w:rPr>
        <w:t xml:space="preserve">Deductibility of </w:t>
      </w:r>
      <w:r w:rsidRPr="005D1427">
        <w:rPr>
          <w:rFonts w:ascii="Arial" w:hAnsi="Arial" w:cs="Arial"/>
          <w:b/>
        </w:rPr>
        <w:t>Part 7 benefits</w:t>
      </w:r>
      <w:r>
        <w:rPr>
          <w:rFonts w:ascii="Arial" w:hAnsi="Arial" w:cs="Arial"/>
          <w:b/>
        </w:rPr>
        <w:t xml:space="preserve"> from the tort award</w:t>
      </w:r>
      <w:r>
        <w:rPr>
          <w:rFonts w:ascii="Arial" w:hAnsi="Arial" w:cs="Arial"/>
        </w:rPr>
        <w:t xml:space="preserve"> </w:t>
      </w:r>
    </w:p>
    <w:p w:rsidR="005D1427" w:rsidRDefault="005D1427" w:rsidP="005D1427">
      <w:pPr>
        <w:pStyle w:val="ListParagraph"/>
        <w:rPr>
          <w:rFonts w:ascii="Arial" w:hAnsi="Arial" w:cs="Arial"/>
        </w:rPr>
      </w:pPr>
    </w:p>
    <w:p w:rsidR="005D1427" w:rsidRDefault="005D1427" w:rsidP="007E38EA">
      <w:pPr>
        <w:pStyle w:val="scjquote"/>
        <w:shd w:val="clear" w:color="auto" w:fill="FFFFFF"/>
        <w:spacing w:before="0" w:beforeAutospacing="0" w:after="120" w:afterAutospacing="0"/>
        <w:ind w:left="720" w:right="720"/>
        <w:jc w:val="both"/>
        <w:rPr>
          <w:rFonts w:ascii="Arial" w:hAnsi="Arial" w:cs="Arial"/>
          <w:color w:val="000000"/>
          <w:sz w:val="22"/>
          <w:szCs w:val="22"/>
        </w:rPr>
      </w:pPr>
      <w:r>
        <w:rPr>
          <w:rFonts w:ascii="Arial" w:hAnsi="Arial" w:cs="Arial"/>
          <w:color w:val="000000"/>
          <w:sz w:val="22"/>
          <w:szCs w:val="22"/>
        </w:rPr>
        <w:t>83 (5)        After assessing the award of damages under subsection (4), the amount of benefits referred to in that subsection must be disclosed to the court, and taken into account, or, if the amount of benefits has not been ascertained, the court must estimate it and take the estimate into account, and the person referred to in subsection (2) is entitled to enter judgment for the balance only.</w:t>
      </w:r>
    </w:p>
    <w:p w:rsidR="00C528D9" w:rsidRPr="00F014A7" w:rsidRDefault="00953226" w:rsidP="00F014A7">
      <w:pPr>
        <w:pStyle w:val="Default"/>
        <w:numPr>
          <w:ilvl w:val="0"/>
          <w:numId w:val="19"/>
        </w:numPr>
        <w:spacing w:after="240"/>
        <w:ind w:left="360"/>
        <w:jc w:val="both"/>
        <w:rPr>
          <w:rFonts w:ascii="Arial" w:hAnsi="Arial" w:cs="Arial"/>
          <w:sz w:val="22"/>
          <w:szCs w:val="22"/>
        </w:rPr>
      </w:pPr>
      <w:r w:rsidRPr="00953226">
        <w:rPr>
          <w:rFonts w:ascii="Arial" w:hAnsi="Arial" w:cs="Arial"/>
        </w:rPr>
        <w:t xml:space="preserve">In </w:t>
      </w:r>
      <w:hyperlink r:id="rId13" w:history="1">
        <w:r w:rsidR="00C528D9" w:rsidRPr="00953226">
          <w:rPr>
            <w:rStyle w:val="Hyperlink"/>
            <w:rFonts w:ascii="Arial" w:hAnsi="Arial" w:cs="Arial"/>
          </w:rPr>
          <w:t>Del Bianco v. Yang, 2020 BCSC 410</w:t>
        </w:r>
      </w:hyperlink>
      <w:r>
        <w:rPr>
          <w:rFonts w:ascii="Arial" w:hAnsi="Arial" w:cs="Arial"/>
        </w:rPr>
        <w:t xml:space="preserve">, </w:t>
      </w:r>
      <w:r w:rsidR="00F014A7">
        <w:rPr>
          <w:rFonts w:ascii="Arial" w:hAnsi="Arial" w:cs="Arial"/>
        </w:rPr>
        <w:t xml:space="preserve">ICBC sought an order that the judgement for cost of future care granted at trial be entered </w:t>
      </w:r>
      <w:r w:rsidR="00F014A7">
        <w:rPr>
          <w:rFonts w:ascii="Arial" w:hAnsi="Arial" w:cs="Arial"/>
          <w:b/>
        </w:rPr>
        <w:t xml:space="preserve">less $56,648, pursuant to s. 83(5), </w:t>
      </w:r>
      <w:r w:rsidR="00F014A7">
        <w:rPr>
          <w:rFonts w:ascii="Arial" w:hAnsi="Arial" w:cs="Arial"/>
        </w:rPr>
        <w:t xml:space="preserve">the value of annual massage therapy </w:t>
      </w:r>
      <w:r w:rsidR="00D756DE">
        <w:rPr>
          <w:rFonts w:ascii="Arial" w:hAnsi="Arial" w:cs="Arial"/>
        </w:rPr>
        <w:t>treatments</w:t>
      </w:r>
      <w:r w:rsidR="00F014A7">
        <w:rPr>
          <w:rFonts w:ascii="Arial" w:hAnsi="Arial" w:cs="Arial"/>
        </w:rPr>
        <w:t xml:space="preserve"> until the plaintiff’s age 75. The plaintiff was 35 years of age. ICBC thus was promising to pay the benefits ordered for the next 40 years, but under Part 7, rather than paying them out as part of the judgment. Mr. Justice Groves was critical and skeptical of ICBC’s promise to pay</w:t>
      </w:r>
      <w:r w:rsidR="00D756DE">
        <w:rPr>
          <w:rFonts w:ascii="Arial" w:hAnsi="Arial" w:cs="Arial"/>
        </w:rPr>
        <w:t>, and only permitted the deduction of one year’s worth of kinesiology sessions</w:t>
      </w:r>
      <w:r w:rsidR="00F014A7">
        <w:rPr>
          <w:rFonts w:ascii="Arial" w:hAnsi="Arial" w:cs="Arial"/>
        </w:rPr>
        <w:t xml:space="preserve">: </w:t>
      </w:r>
    </w:p>
    <w:p w:rsidR="00F014A7" w:rsidRPr="00F014A7" w:rsidRDefault="00F014A7" w:rsidP="00F014A7">
      <w:pPr>
        <w:autoSpaceDE w:val="0"/>
        <w:autoSpaceDN w:val="0"/>
        <w:adjustRightInd w:val="0"/>
        <w:spacing w:after="397"/>
        <w:ind w:left="720" w:right="720"/>
        <w:jc w:val="both"/>
        <w:rPr>
          <w:rFonts w:ascii="Arial" w:eastAsiaTheme="minorHAnsi" w:hAnsi="Arial" w:cs="Arial"/>
          <w:color w:val="000000"/>
          <w:sz w:val="23"/>
          <w:szCs w:val="23"/>
        </w:rPr>
      </w:pPr>
      <w:r>
        <w:rPr>
          <w:rFonts w:ascii="Arial" w:eastAsiaTheme="minorHAnsi" w:hAnsi="Arial" w:cs="Arial"/>
          <w:color w:val="000000"/>
          <w:sz w:val="23"/>
          <w:szCs w:val="23"/>
        </w:rPr>
        <w:t xml:space="preserve">[13] </w:t>
      </w:r>
      <w:r w:rsidRPr="00F014A7">
        <w:rPr>
          <w:rFonts w:ascii="Arial" w:eastAsiaTheme="minorHAnsi" w:hAnsi="Arial" w:cs="Arial"/>
          <w:color w:val="000000"/>
          <w:sz w:val="23"/>
          <w:szCs w:val="23"/>
        </w:rPr>
        <w:t xml:space="preserve">It is concerning to the court that the representative of ICBC, Andrew </w:t>
      </w:r>
      <w:proofErr w:type="spellStart"/>
      <w:r w:rsidRPr="00F014A7">
        <w:rPr>
          <w:rFonts w:ascii="Arial" w:eastAsiaTheme="minorHAnsi" w:hAnsi="Arial" w:cs="Arial"/>
          <w:color w:val="000000"/>
          <w:sz w:val="23"/>
          <w:szCs w:val="23"/>
        </w:rPr>
        <w:t>Rudkowski</w:t>
      </w:r>
      <w:proofErr w:type="spellEnd"/>
      <w:r w:rsidRPr="00F014A7">
        <w:rPr>
          <w:rFonts w:ascii="Arial" w:eastAsiaTheme="minorHAnsi" w:hAnsi="Arial" w:cs="Arial"/>
          <w:color w:val="000000"/>
          <w:sz w:val="23"/>
          <w:szCs w:val="23"/>
        </w:rPr>
        <w:t xml:space="preserve">, has not, in his affidavit, explained the failure of ICBC prior to trial to pay the massage therapy costs of the plaintiff. Liability for these motor vehicle accidents was never seriously in dispute. The injuries that required massage therapy, therapy that was necessary for Mr. Del Bianco to work, and effectively minimalize the extent of his tort claim, were lower back, shoulder and soft tissue injuries. </w:t>
      </w:r>
    </w:p>
    <w:p w:rsidR="00F014A7" w:rsidRPr="00F014A7" w:rsidRDefault="00F014A7" w:rsidP="00F014A7">
      <w:pPr>
        <w:autoSpaceDE w:val="0"/>
        <w:autoSpaceDN w:val="0"/>
        <w:adjustRightInd w:val="0"/>
        <w:spacing w:after="397"/>
        <w:ind w:left="720" w:right="720"/>
        <w:jc w:val="both"/>
        <w:rPr>
          <w:rFonts w:ascii="Arial" w:eastAsiaTheme="minorHAnsi" w:hAnsi="Arial" w:cs="Arial"/>
          <w:color w:val="000000"/>
          <w:sz w:val="23"/>
          <w:szCs w:val="23"/>
        </w:rPr>
      </w:pPr>
      <w:r w:rsidRPr="00F014A7">
        <w:rPr>
          <w:rFonts w:ascii="Arial" w:eastAsiaTheme="minorHAnsi" w:hAnsi="Arial" w:cs="Arial"/>
          <w:color w:val="000000"/>
          <w:sz w:val="23"/>
          <w:szCs w:val="23"/>
        </w:rPr>
        <w:t xml:space="preserve">[14] Equally concerning is the apparent exaggeration, even today, less than one year into a potentially 40-year commitment, as to the extent of ICBC’s commitment to pay what was ordered after trial. In paragraph 6, Andrew </w:t>
      </w:r>
      <w:proofErr w:type="spellStart"/>
      <w:r w:rsidRPr="00F014A7">
        <w:rPr>
          <w:rFonts w:ascii="Arial" w:eastAsiaTheme="minorHAnsi" w:hAnsi="Arial" w:cs="Arial"/>
          <w:color w:val="000000"/>
          <w:sz w:val="23"/>
          <w:szCs w:val="23"/>
        </w:rPr>
        <w:t>Rudkowski</w:t>
      </w:r>
      <w:proofErr w:type="spellEnd"/>
      <w:r w:rsidRPr="00F014A7">
        <w:rPr>
          <w:rFonts w:ascii="Arial" w:eastAsiaTheme="minorHAnsi" w:hAnsi="Arial" w:cs="Arial"/>
          <w:color w:val="000000"/>
          <w:sz w:val="23"/>
          <w:szCs w:val="23"/>
        </w:rPr>
        <w:t xml:space="preserve"> deposes that “ICBC will reimburse Mr. Del Bianco for the necessary health care services he has incurred since March 22, 2019 and he incurs in the future”. That is, as noted by </w:t>
      </w:r>
      <w:proofErr w:type="spellStart"/>
      <w:r w:rsidRPr="00F014A7">
        <w:rPr>
          <w:rFonts w:ascii="Arial" w:eastAsiaTheme="minorHAnsi" w:hAnsi="Arial" w:cs="Arial"/>
          <w:color w:val="000000"/>
          <w:sz w:val="23"/>
          <w:szCs w:val="23"/>
        </w:rPr>
        <w:t>defence</w:t>
      </w:r>
      <w:proofErr w:type="spellEnd"/>
      <w:r w:rsidRPr="00F014A7">
        <w:rPr>
          <w:rFonts w:ascii="Arial" w:eastAsiaTheme="minorHAnsi" w:hAnsi="Arial" w:cs="Arial"/>
          <w:color w:val="000000"/>
          <w:sz w:val="23"/>
          <w:szCs w:val="23"/>
        </w:rPr>
        <w:t xml:space="preserve"> counsel, not true. They will only reimburse under their payment schedule of $80, when the court determined on the evidence the cost of such treatment at $85. </w:t>
      </w:r>
    </w:p>
    <w:p w:rsidR="00F014A7" w:rsidRDefault="00F014A7" w:rsidP="00F014A7">
      <w:pPr>
        <w:autoSpaceDE w:val="0"/>
        <w:autoSpaceDN w:val="0"/>
        <w:adjustRightInd w:val="0"/>
        <w:ind w:left="720" w:right="720"/>
        <w:jc w:val="both"/>
        <w:rPr>
          <w:rFonts w:ascii="Arial" w:eastAsiaTheme="minorHAnsi" w:hAnsi="Arial" w:cs="Arial"/>
          <w:color w:val="000000"/>
          <w:sz w:val="23"/>
          <w:szCs w:val="23"/>
        </w:rPr>
      </w:pPr>
      <w:r w:rsidRPr="00F014A7">
        <w:rPr>
          <w:rFonts w:ascii="Arial" w:eastAsiaTheme="minorHAnsi" w:hAnsi="Arial" w:cs="Arial"/>
          <w:color w:val="000000"/>
          <w:sz w:val="23"/>
          <w:szCs w:val="23"/>
        </w:rPr>
        <w:t xml:space="preserve">[15] Counsel for the plaintiff ably argued about the difficult financial circumstances that his injury and the actions of ICBC placed on the plaintiff from the time of the accident until, essentially, the time of this application. For whatever reason, unexplained, ICBC refused to pay for </w:t>
      </w:r>
      <w:r>
        <w:rPr>
          <w:rFonts w:ascii="Arial" w:eastAsiaTheme="minorHAnsi" w:hAnsi="Arial" w:cs="Arial"/>
          <w:color w:val="000000"/>
          <w:sz w:val="23"/>
          <w:szCs w:val="23"/>
        </w:rPr>
        <w:t>his massage therapy treatments….</w:t>
      </w:r>
    </w:p>
    <w:p w:rsidR="00F014A7" w:rsidRPr="00F014A7" w:rsidRDefault="00F014A7" w:rsidP="00F014A7">
      <w:pPr>
        <w:autoSpaceDE w:val="0"/>
        <w:autoSpaceDN w:val="0"/>
        <w:adjustRightInd w:val="0"/>
        <w:ind w:right="720"/>
        <w:jc w:val="both"/>
        <w:rPr>
          <w:rFonts w:ascii="Arial" w:eastAsiaTheme="minorHAnsi" w:hAnsi="Arial" w:cs="Arial"/>
          <w:color w:val="000000"/>
        </w:rPr>
      </w:pPr>
    </w:p>
    <w:p w:rsidR="00F014A7" w:rsidRPr="00F014A7" w:rsidRDefault="00F014A7" w:rsidP="00F014A7">
      <w:pPr>
        <w:autoSpaceDE w:val="0"/>
        <w:autoSpaceDN w:val="0"/>
        <w:adjustRightInd w:val="0"/>
        <w:spacing w:after="398"/>
        <w:ind w:left="720" w:right="720"/>
        <w:jc w:val="both"/>
        <w:rPr>
          <w:rFonts w:ascii="Arial" w:eastAsiaTheme="minorHAnsi" w:hAnsi="Arial" w:cs="Arial"/>
          <w:color w:val="000000"/>
          <w:sz w:val="23"/>
          <w:szCs w:val="23"/>
        </w:rPr>
      </w:pPr>
      <w:r>
        <w:rPr>
          <w:rFonts w:ascii="Arial" w:eastAsiaTheme="minorHAnsi" w:hAnsi="Arial" w:cs="Arial"/>
          <w:color w:val="000000"/>
          <w:sz w:val="23"/>
          <w:szCs w:val="23"/>
        </w:rPr>
        <w:t xml:space="preserve">[16] </w:t>
      </w:r>
      <w:r w:rsidRPr="00F014A7">
        <w:rPr>
          <w:rFonts w:ascii="Arial" w:eastAsiaTheme="minorHAnsi" w:hAnsi="Arial" w:cs="Arial"/>
          <w:color w:val="000000"/>
          <w:sz w:val="23"/>
          <w:szCs w:val="23"/>
        </w:rPr>
        <w:t xml:space="preserve">The court is faced with the representations of a claims specialist from ICBC that they will, in the future, pay these costs. The evidence about the lack of financial viability of ICBC, as attested to by the Cabinet Minister responsible for ICBC, the Attorney General, is not significantly disputed. Nor is it disputed that ICBC is not prepared to pay for massage therapy at a rate that the court has ordered. </w:t>
      </w:r>
    </w:p>
    <w:p w:rsidR="00F014A7" w:rsidRPr="00F014A7" w:rsidRDefault="00F014A7" w:rsidP="00F014A7">
      <w:pPr>
        <w:autoSpaceDE w:val="0"/>
        <w:autoSpaceDN w:val="0"/>
        <w:adjustRightInd w:val="0"/>
        <w:spacing w:after="398"/>
        <w:ind w:left="720" w:right="720"/>
        <w:jc w:val="both"/>
        <w:rPr>
          <w:rFonts w:ascii="Arial" w:eastAsiaTheme="minorHAnsi" w:hAnsi="Arial" w:cs="Arial"/>
          <w:color w:val="000000"/>
          <w:sz w:val="23"/>
          <w:szCs w:val="23"/>
        </w:rPr>
      </w:pPr>
      <w:r w:rsidRPr="00F014A7">
        <w:rPr>
          <w:rFonts w:ascii="Arial" w:eastAsiaTheme="minorHAnsi" w:hAnsi="Arial" w:cs="Arial"/>
          <w:color w:val="000000"/>
          <w:sz w:val="23"/>
          <w:szCs w:val="23"/>
        </w:rPr>
        <w:t xml:space="preserve">[17] Additionally, and though this was not raised by counsel, but is a concern to the court, it is hard to know and predict, dare I say impossible to know and predict, at what rate ICBC will, in the future, be paying for massage therapy costs. This is not just a short-term future. This is 40 years. If, as now, this would require the plaintiff to pay the difference himself, to pay over and above what ICBC is prepared to pay, when the tort award was intended to fully compensate him. He may perhaps then seek reimbursement from ICBC. This creates a 40-year responsibility on this plaintiff to keep track of receipts, to make requests and deal with adjusters at ICBC. That is completely inconsistent with the general purpose of litigation and tort awards, to create some finality between the parties. </w:t>
      </w:r>
    </w:p>
    <w:p w:rsidR="00F014A7" w:rsidRPr="00F014A7" w:rsidRDefault="00F014A7" w:rsidP="00D756DE">
      <w:pPr>
        <w:autoSpaceDE w:val="0"/>
        <w:autoSpaceDN w:val="0"/>
        <w:adjustRightInd w:val="0"/>
        <w:spacing w:after="398"/>
        <w:ind w:left="720" w:right="540"/>
        <w:jc w:val="both"/>
        <w:rPr>
          <w:rFonts w:ascii="Arial" w:eastAsiaTheme="minorHAnsi" w:hAnsi="Arial" w:cs="Arial"/>
          <w:color w:val="000000"/>
          <w:sz w:val="23"/>
          <w:szCs w:val="23"/>
        </w:rPr>
      </w:pPr>
      <w:r w:rsidRPr="00F014A7">
        <w:rPr>
          <w:rFonts w:ascii="Arial" w:eastAsiaTheme="minorHAnsi" w:hAnsi="Arial" w:cs="Arial"/>
          <w:color w:val="000000"/>
          <w:sz w:val="23"/>
          <w:szCs w:val="23"/>
        </w:rPr>
        <w:t xml:space="preserve">[18] In light of the history of non-payment by ICBC for no apparent reason, as experienced by the plaintiff, it is unrealistic, in my view, to require him for a period of 40 years, to have to continue to deal with an adjuster at ICBC in order to obtain what the court has already ordered he is entitled to. </w:t>
      </w:r>
    </w:p>
    <w:p w:rsidR="00F014A7" w:rsidRDefault="00F014A7" w:rsidP="00D756DE">
      <w:pPr>
        <w:autoSpaceDE w:val="0"/>
        <w:autoSpaceDN w:val="0"/>
        <w:adjustRightInd w:val="0"/>
        <w:ind w:left="720" w:right="540"/>
        <w:jc w:val="both"/>
        <w:rPr>
          <w:rFonts w:ascii="Arial" w:eastAsiaTheme="minorHAnsi" w:hAnsi="Arial" w:cs="Arial"/>
          <w:color w:val="000000"/>
          <w:sz w:val="23"/>
          <w:szCs w:val="23"/>
        </w:rPr>
      </w:pPr>
      <w:r w:rsidRPr="00F014A7">
        <w:rPr>
          <w:rFonts w:ascii="Arial" w:eastAsiaTheme="minorHAnsi" w:hAnsi="Arial" w:cs="Arial"/>
          <w:color w:val="000000"/>
          <w:sz w:val="23"/>
          <w:szCs w:val="23"/>
        </w:rPr>
        <w:t xml:space="preserve">[19] Additionally, as noted by the plaintiff, there is just too much uncertainty as to the ability of ICBC to make the payments at a rate ordered by the court. They are, today, not prepared to pay at the rate the court ordered. There is too much uncertainty related to their past history of being disinterested or disrespectful of the plaintiff’s claims. There is too much uncertainty as to what the future holds for ICBC, as evidenced by the affidavit of the plaintiff, for the court to have absolute confidence that if money is deducted from the tort award for Part 7 scheduled benefits, that they will actually be paid. </w:t>
      </w:r>
    </w:p>
    <w:p w:rsidR="00F014A7" w:rsidRDefault="00F014A7" w:rsidP="00D756DE">
      <w:pPr>
        <w:autoSpaceDE w:val="0"/>
        <w:autoSpaceDN w:val="0"/>
        <w:adjustRightInd w:val="0"/>
        <w:ind w:left="720" w:right="540"/>
        <w:jc w:val="both"/>
        <w:rPr>
          <w:rFonts w:ascii="Arial" w:eastAsiaTheme="minorHAnsi" w:hAnsi="Arial" w:cs="Arial"/>
          <w:color w:val="000000"/>
          <w:sz w:val="23"/>
          <w:szCs w:val="23"/>
        </w:rPr>
      </w:pPr>
    </w:p>
    <w:p w:rsidR="00F014A7" w:rsidRPr="00F014A7" w:rsidRDefault="00F014A7" w:rsidP="00D756DE">
      <w:pPr>
        <w:autoSpaceDE w:val="0"/>
        <w:autoSpaceDN w:val="0"/>
        <w:adjustRightInd w:val="0"/>
        <w:ind w:left="720" w:right="540"/>
        <w:jc w:val="center"/>
        <w:rPr>
          <w:rFonts w:ascii="Arial" w:eastAsiaTheme="minorHAnsi" w:hAnsi="Arial" w:cs="Arial"/>
          <w:color w:val="000000"/>
          <w:sz w:val="23"/>
          <w:szCs w:val="23"/>
        </w:rPr>
      </w:pPr>
      <w:r>
        <w:rPr>
          <w:rFonts w:ascii="Arial" w:eastAsiaTheme="minorHAnsi" w:hAnsi="Arial" w:cs="Arial"/>
          <w:color w:val="000000"/>
          <w:sz w:val="23"/>
          <w:szCs w:val="23"/>
        </w:rPr>
        <w:t>…</w:t>
      </w:r>
    </w:p>
    <w:p w:rsidR="00F014A7" w:rsidRDefault="00F014A7" w:rsidP="00D756DE">
      <w:pPr>
        <w:autoSpaceDE w:val="0"/>
        <w:autoSpaceDN w:val="0"/>
        <w:adjustRightInd w:val="0"/>
        <w:ind w:left="720"/>
        <w:jc w:val="both"/>
        <w:rPr>
          <w:rFonts w:ascii="Arial" w:eastAsiaTheme="minorHAnsi" w:hAnsi="Arial" w:cs="Arial"/>
          <w:color w:val="7F7F7F"/>
          <w:sz w:val="20"/>
          <w:szCs w:val="20"/>
        </w:rPr>
      </w:pPr>
    </w:p>
    <w:p w:rsidR="00F014A7" w:rsidRPr="00F014A7" w:rsidRDefault="00F014A7" w:rsidP="00D756DE">
      <w:pPr>
        <w:autoSpaceDE w:val="0"/>
        <w:autoSpaceDN w:val="0"/>
        <w:adjustRightInd w:val="0"/>
        <w:ind w:left="720" w:right="720"/>
        <w:jc w:val="both"/>
        <w:rPr>
          <w:rFonts w:ascii="Arial" w:eastAsiaTheme="minorHAnsi" w:hAnsi="Arial" w:cs="Arial"/>
          <w:color w:val="000000"/>
          <w:sz w:val="23"/>
          <w:szCs w:val="23"/>
        </w:rPr>
      </w:pPr>
      <w:r>
        <w:rPr>
          <w:rFonts w:ascii="Arial" w:eastAsiaTheme="minorHAnsi" w:hAnsi="Arial" w:cs="Arial"/>
          <w:color w:val="000000"/>
          <w:sz w:val="23"/>
          <w:szCs w:val="23"/>
        </w:rPr>
        <w:t xml:space="preserve">[21] </w:t>
      </w:r>
      <w:r w:rsidRPr="00F014A7">
        <w:rPr>
          <w:rFonts w:ascii="Arial" w:eastAsiaTheme="minorHAnsi" w:hAnsi="Arial" w:cs="Arial"/>
          <w:color w:val="000000"/>
          <w:sz w:val="23"/>
          <w:szCs w:val="23"/>
        </w:rPr>
        <w:t xml:space="preserve">As such, I am not prepared to deduct amounts for massage therapy under s. 83 from the plaintiff’s tort award. These comments relate to the massage therapy treatments to age 65 and the massage therapy treatments from age 65 to age 75. There is, as noted above, in the circumstances of a 40-year payment period, too much uncertainty and, frankly, too much of a requirement placed on this plaintiff to potentially request reimbursement weekly for funds not paid directly by ICBC, but payable out of his pocket. That is simply too much to expect. </w:t>
      </w:r>
    </w:p>
    <w:p w:rsidR="00F014A7" w:rsidRPr="00F014A7" w:rsidRDefault="00F014A7" w:rsidP="00F014A7">
      <w:pPr>
        <w:autoSpaceDE w:val="0"/>
        <w:autoSpaceDN w:val="0"/>
        <w:adjustRightInd w:val="0"/>
        <w:ind w:left="720"/>
        <w:rPr>
          <w:rFonts w:ascii="Arial" w:eastAsiaTheme="minorHAnsi" w:hAnsi="Arial" w:cs="Arial"/>
          <w:color w:val="000000"/>
          <w:sz w:val="23"/>
          <w:szCs w:val="23"/>
        </w:rPr>
      </w:pPr>
    </w:p>
    <w:p w:rsidR="008F1DCA" w:rsidRPr="00544CB9" w:rsidRDefault="008F1DCA" w:rsidP="001E7F1C">
      <w:pPr>
        <w:pStyle w:val="Default"/>
        <w:numPr>
          <w:ilvl w:val="0"/>
          <w:numId w:val="11"/>
        </w:numPr>
        <w:jc w:val="both"/>
        <w:rPr>
          <w:rFonts w:ascii="Arial" w:hAnsi="Arial" w:cs="Arial"/>
        </w:rPr>
      </w:pPr>
      <w:r w:rsidRPr="00425DBD">
        <w:rPr>
          <w:rFonts w:ascii="Arial" w:hAnsi="Arial" w:cs="Arial"/>
          <w:b/>
        </w:rPr>
        <w:t>Disability benefits for homemakers</w:t>
      </w:r>
      <w:r w:rsidRPr="00425DBD">
        <w:rPr>
          <w:rFonts w:ascii="Arial" w:hAnsi="Arial" w:cs="Arial"/>
        </w:rPr>
        <w:t xml:space="preserve"> - 84 (1)  Subject to section 85 and subsection (2) of this section, where, within 20 days after an accident for which benefits are provided under this Part, an injury sustained in the accident </w:t>
      </w:r>
      <w:r w:rsidRPr="00544CB9">
        <w:rPr>
          <w:rFonts w:ascii="Arial" w:hAnsi="Arial" w:cs="Arial"/>
          <w:i/>
        </w:rPr>
        <w:t>substantially and continuously disables</w:t>
      </w:r>
      <w:r w:rsidRPr="00425DBD">
        <w:rPr>
          <w:rFonts w:ascii="Arial" w:hAnsi="Arial" w:cs="Arial"/>
        </w:rPr>
        <w:t xml:space="preserve"> an insured who is a homemaker from regularly performing most of the insured's household tasks, the corporation shall compensate the insured for the period of the disability or 104 consecutive weeks, whichever is shorter, for reasonable expenses incurred by the insured to hire a person to perform the household tasks on the insured's behalf, subject to a maximum amount per week as set out in section 2 of Schedule 3.</w:t>
      </w:r>
      <w:r w:rsidR="001E7F1C" w:rsidRPr="00425DBD">
        <w:rPr>
          <w:rFonts w:ascii="Arial" w:hAnsi="Arial" w:cs="Arial"/>
        </w:rPr>
        <w:t xml:space="preserve">  </w:t>
      </w:r>
      <w:r w:rsidRPr="00425DBD">
        <w:rPr>
          <w:rFonts w:ascii="Arial" w:hAnsi="Arial" w:cs="Arial"/>
        </w:rPr>
        <w:t>(2)  No compensation is payable under this section in respect of household tasks performed by a member of the insured's family.</w:t>
      </w:r>
      <w:r w:rsidR="001E7F1C" w:rsidRPr="00425DBD">
        <w:rPr>
          <w:rFonts w:ascii="Arial" w:hAnsi="Arial" w:cs="Arial"/>
        </w:rPr>
        <w:t xml:space="preserve"> </w:t>
      </w:r>
      <w:r w:rsidR="002B770B" w:rsidRPr="00425DBD">
        <w:rPr>
          <w:rFonts w:ascii="Arial" w:hAnsi="Arial" w:cs="Arial"/>
          <w:i/>
        </w:rPr>
        <w:t>Note</w:t>
      </w:r>
      <w:r w:rsidR="001E7F1C" w:rsidRPr="00425DBD">
        <w:rPr>
          <w:rFonts w:ascii="Arial" w:hAnsi="Arial" w:cs="Arial"/>
          <w:i/>
        </w:rPr>
        <w:t xml:space="preserve"> that this does not extinguish the plaintiff’s right to pursue an in-trust claim in the tort action.</w:t>
      </w:r>
    </w:p>
    <w:p w:rsidR="00544CB9" w:rsidRDefault="00544CB9" w:rsidP="00544CB9">
      <w:pPr>
        <w:pStyle w:val="ListParagraph"/>
        <w:rPr>
          <w:rFonts w:ascii="Arial" w:hAnsi="Arial" w:cs="Arial"/>
        </w:rPr>
      </w:pPr>
    </w:p>
    <w:p w:rsidR="00544CB9" w:rsidRPr="00544CB9" w:rsidRDefault="00544CB9" w:rsidP="00544CB9">
      <w:pPr>
        <w:pStyle w:val="Default"/>
        <w:numPr>
          <w:ilvl w:val="1"/>
          <w:numId w:val="11"/>
        </w:numPr>
        <w:jc w:val="both"/>
        <w:rPr>
          <w:rFonts w:ascii="Arial" w:hAnsi="Arial" w:cs="Arial"/>
          <w:color w:val="000000" w:themeColor="text1"/>
          <w:sz w:val="22"/>
        </w:rPr>
      </w:pPr>
      <w:r w:rsidRPr="00544CB9">
        <w:rPr>
          <w:rFonts w:ascii="Arial" w:eastAsia="Times New Roman" w:hAnsi="Arial" w:cs="Arial"/>
          <w:color w:val="000000" w:themeColor="text1"/>
          <w:szCs w:val="27"/>
        </w:rPr>
        <w:t>The NDP is increasing home support benefits to $280 per week</w:t>
      </w:r>
    </w:p>
    <w:p w:rsidR="008F1DCA" w:rsidRPr="00425DBD" w:rsidRDefault="008F1DCA" w:rsidP="008F1DCA">
      <w:pPr>
        <w:pStyle w:val="ListParagraph"/>
        <w:rPr>
          <w:rFonts w:ascii="Arial" w:hAnsi="Arial" w:cs="Arial"/>
        </w:rPr>
      </w:pPr>
    </w:p>
    <w:p w:rsidR="001E7F1C" w:rsidRPr="00425DBD" w:rsidRDefault="001E7F1C" w:rsidP="001E7F1C">
      <w:pPr>
        <w:pStyle w:val="Default"/>
        <w:numPr>
          <w:ilvl w:val="0"/>
          <w:numId w:val="11"/>
        </w:numPr>
        <w:jc w:val="both"/>
        <w:rPr>
          <w:rFonts w:ascii="Arial" w:hAnsi="Arial" w:cs="Arial"/>
        </w:rPr>
      </w:pPr>
      <w:r w:rsidRPr="00425DBD">
        <w:rPr>
          <w:rFonts w:ascii="Arial" w:hAnsi="Arial" w:cs="Arial"/>
          <w:b/>
        </w:rPr>
        <w:t>Waiting period</w:t>
      </w:r>
      <w:r w:rsidR="00D756DE">
        <w:rPr>
          <w:rFonts w:ascii="Arial" w:hAnsi="Arial" w:cs="Arial"/>
        </w:rPr>
        <w:t xml:space="preserve"> - 85</w:t>
      </w:r>
      <w:r w:rsidRPr="00425DBD">
        <w:rPr>
          <w:rFonts w:ascii="Arial" w:hAnsi="Arial" w:cs="Arial"/>
        </w:rPr>
        <w:t xml:space="preserve">(1)  No disability benefits are payable under section 80 or 84 unless the insured is disabled for a period of </w:t>
      </w:r>
      <w:r w:rsidRPr="00544CB9">
        <w:rPr>
          <w:rFonts w:ascii="Arial" w:hAnsi="Arial" w:cs="Arial"/>
          <w:b/>
        </w:rPr>
        <w:t>more than 7 days.</w:t>
      </w:r>
    </w:p>
    <w:p w:rsidR="002B770B" w:rsidRPr="00425DBD" w:rsidRDefault="002B770B" w:rsidP="002B770B">
      <w:pPr>
        <w:pStyle w:val="ListParagraph"/>
        <w:rPr>
          <w:rFonts w:ascii="Arial" w:hAnsi="Arial" w:cs="Arial"/>
        </w:rPr>
      </w:pPr>
    </w:p>
    <w:p w:rsidR="002B770B" w:rsidRPr="00D756DE" w:rsidRDefault="002B770B" w:rsidP="0015793F">
      <w:pPr>
        <w:pStyle w:val="Default"/>
        <w:numPr>
          <w:ilvl w:val="0"/>
          <w:numId w:val="11"/>
        </w:numPr>
        <w:jc w:val="both"/>
        <w:rPr>
          <w:rFonts w:ascii="Arial" w:hAnsi="Arial" w:cs="Arial"/>
          <w:b/>
          <w:color w:val="000000" w:themeColor="text1"/>
        </w:rPr>
      </w:pPr>
      <w:r w:rsidRPr="00D756DE">
        <w:rPr>
          <w:rFonts w:ascii="Arial" w:hAnsi="Arial" w:cs="Arial"/>
          <w:b/>
        </w:rPr>
        <w:t xml:space="preserve">Disability beyond 104 weeks - </w:t>
      </w:r>
      <w:r w:rsidR="00D756DE" w:rsidRPr="00D756DE">
        <w:rPr>
          <w:rFonts w:ascii="Arial" w:hAnsi="Arial" w:cs="Arial"/>
        </w:rPr>
        <w:t>86</w:t>
      </w:r>
      <w:r w:rsidRPr="00D756DE">
        <w:rPr>
          <w:rFonts w:ascii="Arial" w:hAnsi="Arial" w:cs="Arial"/>
        </w:rPr>
        <w:t xml:space="preserve">(1)  Where an injury for which disability benefits are being paid to an insured under section 80 or 84 continues, at the end of the 104 week period, to </w:t>
      </w:r>
      <w:r w:rsidR="00544CB9" w:rsidRPr="00D756DE">
        <w:rPr>
          <w:rFonts w:ascii="Arial" w:hAnsi="Arial" w:cs="Arial"/>
        </w:rPr>
        <w:t xml:space="preserve">the </w:t>
      </w:r>
      <w:r w:rsidRPr="00D756DE">
        <w:rPr>
          <w:rFonts w:ascii="Arial" w:hAnsi="Arial" w:cs="Arial"/>
        </w:rPr>
        <w:t>disable</w:t>
      </w:r>
      <w:r w:rsidR="00D756DE">
        <w:rPr>
          <w:rFonts w:ascii="Arial" w:hAnsi="Arial" w:cs="Arial"/>
        </w:rPr>
        <w:t>d</w:t>
      </w:r>
      <w:r w:rsidRPr="00D756DE">
        <w:rPr>
          <w:rFonts w:ascii="Arial" w:hAnsi="Arial" w:cs="Arial"/>
        </w:rPr>
        <w:t xml:space="preserve"> insured as described in the applicable section, the corporation shall, subject to subsections (1.1) and (2) and sections 87 to 90, continue to pay the applicable amount of disability benefits to an insured described in section 80 or 84 (a) for the duration of the disability, or</w:t>
      </w:r>
      <w:r w:rsidRPr="00D756DE">
        <w:rPr>
          <w:rFonts w:ascii="Arial" w:hAnsi="Arial" w:cs="Arial"/>
          <w:b/>
        </w:rPr>
        <w:t xml:space="preserve"> </w:t>
      </w:r>
      <w:r w:rsidRPr="00D756DE">
        <w:rPr>
          <w:rFonts w:ascii="Arial" w:hAnsi="Arial" w:cs="Arial"/>
        </w:rPr>
        <w:t>(b) until the insured reaches 65 years of age,</w:t>
      </w:r>
      <w:r w:rsidR="00D756DE">
        <w:rPr>
          <w:rFonts w:ascii="Arial" w:hAnsi="Arial" w:cs="Arial"/>
        </w:rPr>
        <w:t xml:space="preserve"> </w:t>
      </w:r>
      <w:r w:rsidRPr="00D756DE">
        <w:rPr>
          <w:rFonts w:ascii="Arial" w:hAnsi="Arial" w:cs="Arial"/>
        </w:rPr>
        <w:t xml:space="preserve">whichever is the shorter period.  </w:t>
      </w:r>
      <w:r w:rsidRPr="00D756DE">
        <w:rPr>
          <w:rFonts w:ascii="Arial" w:hAnsi="Arial" w:cs="Arial"/>
          <w:b/>
          <w:color w:val="000000" w:themeColor="text1"/>
        </w:rPr>
        <w:t xml:space="preserve">Note </w:t>
      </w:r>
      <w:r w:rsidR="00544CB9" w:rsidRPr="00D756DE">
        <w:rPr>
          <w:rFonts w:ascii="Arial" w:hAnsi="Arial" w:cs="Arial"/>
          <w:b/>
          <w:color w:val="000000" w:themeColor="text1"/>
        </w:rPr>
        <w:t xml:space="preserve">- </w:t>
      </w:r>
      <w:r w:rsidRPr="00D756DE">
        <w:rPr>
          <w:rFonts w:ascii="Arial" w:hAnsi="Arial" w:cs="Arial"/>
          <w:b/>
          <w:color w:val="000000" w:themeColor="text1"/>
        </w:rPr>
        <w:t xml:space="preserve">this becomes a deductible amount under section 52 of the </w:t>
      </w:r>
      <w:r w:rsidRPr="00D756DE">
        <w:rPr>
          <w:rFonts w:ascii="Arial" w:hAnsi="Arial" w:cs="Arial"/>
          <w:b/>
          <w:i/>
          <w:color w:val="000000" w:themeColor="text1"/>
        </w:rPr>
        <w:t xml:space="preserve">Insurance (Vehicle) Act </w:t>
      </w:r>
      <w:r w:rsidRPr="00D756DE">
        <w:rPr>
          <w:rFonts w:ascii="Arial" w:hAnsi="Arial" w:cs="Arial"/>
          <w:b/>
          <w:color w:val="000000" w:themeColor="text1"/>
        </w:rPr>
        <w:t>and also under the UMP provisions.</w:t>
      </w:r>
    </w:p>
    <w:p w:rsidR="001E7F1C" w:rsidRPr="00425DBD" w:rsidRDefault="001E7F1C" w:rsidP="001E7F1C">
      <w:pPr>
        <w:pStyle w:val="ListParagraph"/>
        <w:rPr>
          <w:rFonts w:ascii="Arial" w:hAnsi="Arial" w:cs="Arial"/>
        </w:rPr>
      </w:pPr>
    </w:p>
    <w:p w:rsidR="002B770B" w:rsidRPr="00D756DE" w:rsidRDefault="002B770B" w:rsidP="002B770B">
      <w:pPr>
        <w:pStyle w:val="Default"/>
        <w:numPr>
          <w:ilvl w:val="0"/>
          <w:numId w:val="11"/>
        </w:numPr>
        <w:jc w:val="both"/>
        <w:rPr>
          <w:rFonts w:ascii="Arial" w:hAnsi="Arial" w:cs="Arial"/>
          <w:b/>
        </w:rPr>
      </w:pPr>
      <w:r w:rsidRPr="00425DBD">
        <w:rPr>
          <w:rFonts w:ascii="Arial" w:hAnsi="Arial" w:cs="Arial"/>
          <w:b/>
        </w:rPr>
        <w:t xml:space="preserve">Review of benefits - </w:t>
      </w:r>
      <w:r w:rsidRPr="00425DBD">
        <w:rPr>
          <w:rFonts w:ascii="Arial" w:hAnsi="Arial" w:cs="Arial"/>
        </w:rPr>
        <w:t xml:space="preserve">87 Any benefits payable under section 80, 84 or 86 may be </w:t>
      </w:r>
      <w:r w:rsidRPr="00D756DE">
        <w:rPr>
          <w:rFonts w:ascii="Arial" w:hAnsi="Arial" w:cs="Arial"/>
          <w:b/>
        </w:rPr>
        <w:t>reviewed every 12 months</w:t>
      </w:r>
      <w:r w:rsidRPr="00425DBD">
        <w:rPr>
          <w:rFonts w:ascii="Arial" w:hAnsi="Arial" w:cs="Arial"/>
        </w:rPr>
        <w:t xml:space="preserve"> and terminated by the corporation </w:t>
      </w:r>
      <w:r w:rsidRPr="00D756DE">
        <w:rPr>
          <w:rFonts w:ascii="Arial" w:hAnsi="Arial" w:cs="Arial"/>
        </w:rPr>
        <w:t xml:space="preserve">on the advice of </w:t>
      </w:r>
      <w:r w:rsidR="00D756DE">
        <w:rPr>
          <w:rFonts w:ascii="Arial" w:hAnsi="Arial" w:cs="Arial"/>
        </w:rPr>
        <w:t>the corporation's medical adviso</w:t>
      </w:r>
      <w:r w:rsidRPr="00D756DE">
        <w:rPr>
          <w:rFonts w:ascii="Arial" w:hAnsi="Arial" w:cs="Arial"/>
        </w:rPr>
        <w:t xml:space="preserve">r – Note that termination requires the advice of a medical expert and is not subject to </w:t>
      </w:r>
      <w:r w:rsidR="00D756DE">
        <w:rPr>
          <w:rFonts w:ascii="Arial" w:hAnsi="Arial" w:cs="Arial"/>
        </w:rPr>
        <w:t xml:space="preserve">the </w:t>
      </w:r>
      <w:r w:rsidRPr="00D756DE">
        <w:rPr>
          <w:rFonts w:ascii="Arial" w:hAnsi="Arial" w:cs="Arial"/>
        </w:rPr>
        <w:t>whim of ICBC.</w:t>
      </w:r>
    </w:p>
    <w:p w:rsidR="002B770B" w:rsidRPr="00425DBD" w:rsidRDefault="002B770B" w:rsidP="002B770B">
      <w:pPr>
        <w:pStyle w:val="Default"/>
        <w:ind w:left="360"/>
        <w:jc w:val="both"/>
        <w:rPr>
          <w:rFonts w:ascii="Arial" w:hAnsi="Arial" w:cs="Arial"/>
        </w:rPr>
      </w:pPr>
    </w:p>
    <w:p w:rsidR="002B770B" w:rsidRPr="00425DBD" w:rsidRDefault="002B770B" w:rsidP="002B770B">
      <w:pPr>
        <w:pStyle w:val="Default"/>
        <w:numPr>
          <w:ilvl w:val="0"/>
          <w:numId w:val="11"/>
        </w:numPr>
        <w:jc w:val="both"/>
        <w:rPr>
          <w:rFonts w:ascii="Arial" w:hAnsi="Arial" w:cs="Arial"/>
        </w:rPr>
      </w:pPr>
      <w:r w:rsidRPr="00425DBD">
        <w:rPr>
          <w:rFonts w:ascii="Arial" w:hAnsi="Arial" w:cs="Arial"/>
          <w:b/>
        </w:rPr>
        <w:t>Medical and rehabilitation benefits</w:t>
      </w:r>
      <w:r w:rsidR="00D756DE">
        <w:rPr>
          <w:rFonts w:ascii="Arial" w:hAnsi="Arial" w:cs="Arial"/>
        </w:rPr>
        <w:t xml:space="preserve"> – 88</w:t>
      </w:r>
      <w:r w:rsidRPr="00425DBD">
        <w:rPr>
          <w:rFonts w:ascii="Arial" w:hAnsi="Arial" w:cs="Arial"/>
        </w:rPr>
        <w:t xml:space="preserve">(1)  Where an insured is injured in an accident for which benefits are provided under this Part, the corporation shall, subject to subsections (5) and (6), pay as benefits </w:t>
      </w:r>
      <w:r w:rsidRPr="00D756DE">
        <w:rPr>
          <w:rFonts w:ascii="Arial" w:hAnsi="Arial" w:cs="Arial"/>
          <w:b/>
        </w:rPr>
        <w:t>all reasonable expenses</w:t>
      </w:r>
      <w:r w:rsidRPr="00425DBD">
        <w:rPr>
          <w:rFonts w:ascii="Arial" w:hAnsi="Arial" w:cs="Arial"/>
        </w:rPr>
        <w:t xml:space="preserve"> incurred by the insured as a result of the injury for </w:t>
      </w:r>
      <w:r w:rsidRPr="00D756DE">
        <w:rPr>
          <w:rFonts w:ascii="Arial" w:hAnsi="Arial" w:cs="Arial"/>
          <w:b/>
        </w:rPr>
        <w:t>necessary</w:t>
      </w:r>
      <w:r w:rsidRPr="00425DBD">
        <w:rPr>
          <w:rFonts w:ascii="Arial" w:hAnsi="Arial" w:cs="Arial"/>
        </w:rPr>
        <w:t xml:space="preserve"> medical, surgical, dental, hospital, ambulance or professional nursing services, or for </w:t>
      </w:r>
      <w:r w:rsidRPr="00D756DE">
        <w:rPr>
          <w:rFonts w:ascii="Arial" w:hAnsi="Arial" w:cs="Arial"/>
          <w:b/>
        </w:rPr>
        <w:t>necessary</w:t>
      </w:r>
      <w:r w:rsidRPr="00425DBD">
        <w:rPr>
          <w:rFonts w:ascii="Arial" w:hAnsi="Arial" w:cs="Arial"/>
        </w:rPr>
        <w:t xml:space="preserve"> physical therapy, chiropractic treatment, occupational therapy or speech therapy or for prosthesis or orthosis.  </w:t>
      </w:r>
      <w:r w:rsidRPr="00425DBD">
        <w:rPr>
          <w:rFonts w:ascii="Arial" w:hAnsi="Arial" w:cs="Arial"/>
          <w:i/>
        </w:rPr>
        <w:t>Note that the test is one of “reasonable expenses” and this has been the subject of much judicial commentary – for example ICBC will routinely cut off chiro, massage or physio despite the fact there has been an ongoing medical recommendation.</w:t>
      </w:r>
    </w:p>
    <w:p w:rsidR="002B770B" w:rsidRPr="00425DBD" w:rsidRDefault="002B770B" w:rsidP="002B770B">
      <w:pPr>
        <w:pStyle w:val="ListParagraph"/>
        <w:rPr>
          <w:rFonts w:ascii="Arial" w:hAnsi="Arial" w:cs="Arial"/>
        </w:rPr>
      </w:pPr>
    </w:p>
    <w:p w:rsidR="002B770B" w:rsidRPr="00425DBD" w:rsidRDefault="002B770B" w:rsidP="002B770B">
      <w:pPr>
        <w:pStyle w:val="Default"/>
        <w:numPr>
          <w:ilvl w:val="0"/>
          <w:numId w:val="11"/>
        </w:numPr>
        <w:jc w:val="both"/>
        <w:rPr>
          <w:rFonts w:ascii="Arial" w:hAnsi="Arial" w:cs="Arial"/>
          <w:b/>
        </w:rPr>
      </w:pPr>
      <w:r w:rsidRPr="00425DBD">
        <w:rPr>
          <w:rFonts w:ascii="Arial" w:hAnsi="Arial" w:cs="Arial"/>
          <w:b/>
        </w:rPr>
        <w:t xml:space="preserve">Exceptional rehabilitation </w:t>
      </w:r>
      <w:r w:rsidR="00021BE2" w:rsidRPr="00425DBD">
        <w:rPr>
          <w:rFonts w:ascii="Arial" w:hAnsi="Arial" w:cs="Arial"/>
          <w:b/>
        </w:rPr>
        <w:t>expenses – section 88 continued</w:t>
      </w:r>
    </w:p>
    <w:p w:rsidR="002B770B" w:rsidRPr="00425DBD" w:rsidRDefault="002B770B" w:rsidP="002B770B">
      <w:pPr>
        <w:pStyle w:val="ListParagraph"/>
        <w:rPr>
          <w:rFonts w:ascii="Arial" w:hAnsi="Arial" w:cs="Arial"/>
        </w:rPr>
      </w:pPr>
    </w:p>
    <w:p w:rsidR="002B770B" w:rsidRPr="00425DBD" w:rsidRDefault="00D756DE" w:rsidP="002B770B">
      <w:pPr>
        <w:pStyle w:val="Default"/>
        <w:numPr>
          <w:ilvl w:val="1"/>
          <w:numId w:val="11"/>
        </w:numPr>
        <w:jc w:val="both"/>
        <w:rPr>
          <w:rFonts w:ascii="Arial" w:hAnsi="Arial" w:cs="Arial"/>
        </w:rPr>
      </w:pPr>
      <w:r>
        <w:rPr>
          <w:rFonts w:ascii="Arial" w:hAnsi="Arial" w:cs="Arial"/>
        </w:rPr>
        <w:t>A</w:t>
      </w:r>
      <w:r w:rsidR="002B770B" w:rsidRPr="00425DBD">
        <w:rPr>
          <w:rFonts w:ascii="Arial" w:hAnsi="Arial" w:cs="Arial"/>
        </w:rPr>
        <w:t>cquisition by the insured of one motor vehicle equipped as necessary and appropriate to its use or operation by the insured</w:t>
      </w:r>
    </w:p>
    <w:p w:rsidR="002B770B" w:rsidRPr="00425DBD" w:rsidRDefault="00D756DE" w:rsidP="002B770B">
      <w:pPr>
        <w:pStyle w:val="Default"/>
        <w:numPr>
          <w:ilvl w:val="1"/>
          <w:numId w:val="11"/>
        </w:numPr>
        <w:jc w:val="both"/>
        <w:rPr>
          <w:rFonts w:ascii="Arial" w:hAnsi="Arial" w:cs="Arial"/>
        </w:rPr>
      </w:pPr>
      <w:r>
        <w:rPr>
          <w:rFonts w:ascii="Arial" w:hAnsi="Arial" w:cs="Arial"/>
        </w:rPr>
        <w:t>A</w:t>
      </w:r>
      <w:r w:rsidR="002B770B" w:rsidRPr="00425DBD">
        <w:rPr>
          <w:rFonts w:ascii="Arial" w:hAnsi="Arial" w:cs="Arial"/>
        </w:rPr>
        <w:t>lterations to the insured's residence that are necessary to make the residence accessible to and usable by the insured</w:t>
      </w:r>
    </w:p>
    <w:p w:rsidR="002B770B" w:rsidRPr="00425DBD" w:rsidRDefault="00D756DE" w:rsidP="002B770B">
      <w:pPr>
        <w:pStyle w:val="Default"/>
        <w:numPr>
          <w:ilvl w:val="1"/>
          <w:numId w:val="11"/>
        </w:numPr>
        <w:jc w:val="both"/>
        <w:rPr>
          <w:rFonts w:ascii="Arial" w:hAnsi="Arial" w:cs="Arial"/>
        </w:rPr>
      </w:pPr>
      <w:r>
        <w:rPr>
          <w:rFonts w:ascii="Arial" w:hAnsi="Arial" w:cs="Arial"/>
        </w:rPr>
        <w:t>R</w:t>
      </w:r>
      <w:r w:rsidR="002B770B" w:rsidRPr="00425DBD">
        <w:rPr>
          <w:rFonts w:ascii="Arial" w:hAnsi="Arial" w:cs="Arial"/>
        </w:rPr>
        <w:t>eimbursement to the insured for the costs of attendant care, other than care provided by a member of the insured's family, where the insured has returned to and is residing in the community but is not capable of performing some or all of the tasks necessary to sustain an independent lifestyle,</w:t>
      </w:r>
    </w:p>
    <w:p w:rsidR="002B770B" w:rsidRPr="00425DBD" w:rsidRDefault="00D756DE" w:rsidP="002B770B">
      <w:pPr>
        <w:pStyle w:val="Default"/>
        <w:numPr>
          <w:ilvl w:val="1"/>
          <w:numId w:val="11"/>
        </w:numPr>
        <w:jc w:val="both"/>
        <w:rPr>
          <w:rFonts w:ascii="Arial" w:hAnsi="Arial" w:cs="Arial"/>
        </w:rPr>
      </w:pPr>
      <w:r>
        <w:rPr>
          <w:rFonts w:ascii="Arial" w:hAnsi="Arial" w:cs="Arial"/>
        </w:rPr>
        <w:t>R</w:t>
      </w:r>
      <w:r w:rsidR="002B770B" w:rsidRPr="00425DBD">
        <w:rPr>
          <w:rFonts w:ascii="Arial" w:hAnsi="Arial" w:cs="Arial"/>
        </w:rPr>
        <w:t xml:space="preserve">eimbursement to the insured for costs incurred from time to time by the insured for the purchase and reasonable repair, adjustment or replacement of one or more of the following items: wheelchair, bed, aid for communication, transfer equipment, </w:t>
      </w:r>
    </w:p>
    <w:p w:rsidR="002B770B" w:rsidRPr="00425DBD" w:rsidRDefault="002B770B" w:rsidP="002B770B">
      <w:pPr>
        <w:pStyle w:val="ListParagraph"/>
        <w:rPr>
          <w:rFonts w:ascii="Arial" w:hAnsi="Arial" w:cs="Arial"/>
        </w:rPr>
      </w:pPr>
    </w:p>
    <w:p w:rsidR="002B770B" w:rsidRPr="00425DBD" w:rsidRDefault="003119D6" w:rsidP="002B770B">
      <w:pPr>
        <w:pStyle w:val="Default"/>
        <w:numPr>
          <w:ilvl w:val="0"/>
          <w:numId w:val="11"/>
        </w:numPr>
        <w:jc w:val="both"/>
        <w:rPr>
          <w:rFonts w:ascii="Arial" w:hAnsi="Arial" w:cs="Arial"/>
        </w:rPr>
      </w:pPr>
      <w:r w:rsidRPr="00425DBD">
        <w:rPr>
          <w:rFonts w:ascii="Arial" w:hAnsi="Arial" w:cs="Arial"/>
        </w:rPr>
        <w:t xml:space="preserve">The total amount payable by ICBC for rehabilitation expenses is </w:t>
      </w:r>
      <w:r w:rsidR="009A09BF">
        <w:rPr>
          <w:rFonts w:ascii="Arial" w:hAnsi="Arial" w:cs="Arial"/>
        </w:rPr>
        <w:t xml:space="preserve">now increased to $300,000 from </w:t>
      </w:r>
      <w:r w:rsidRPr="00425DBD">
        <w:rPr>
          <w:rFonts w:ascii="Arial" w:hAnsi="Arial" w:cs="Arial"/>
        </w:rPr>
        <w:t>$150,000</w:t>
      </w:r>
      <w:r w:rsidR="009A09BF">
        <w:rPr>
          <w:rFonts w:ascii="Arial" w:hAnsi="Arial" w:cs="Arial"/>
        </w:rPr>
        <w:t xml:space="preserve"> as per AG David </w:t>
      </w:r>
      <w:proofErr w:type="spellStart"/>
      <w:r w:rsidR="009A09BF">
        <w:rPr>
          <w:rFonts w:ascii="Arial" w:hAnsi="Arial" w:cs="Arial"/>
        </w:rPr>
        <w:t>Eby’s</w:t>
      </w:r>
      <w:proofErr w:type="spellEnd"/>
      <w:r w:rsidR="009A09BF">
        <w:rPr>
          <w:rFonts w:ascii="Arial" w:hAnsi="Arial" w:cs="Arial"/>
        </w:rPr>
        <w:t xml:space="preserve"> announcement</w:t>
      </w:r>
      <w:r w:rsidR="00D756DE">
        <w:rPr>
          <w:rFonts w:ascii="Arial" w:hAnsi="Arial" w:cs="Arial"/>
        </w:rPr>
        <w:t xml:space="preserve"> last year</w:t>
      </w:r>
      <w:r w:rsidR="009A09BF">
        <w:rPr>
          <w:rFonts w:ascii="Arial" w:hAnsi="Arial" w:cs="Arial"/>
        </w:rPr>
        <w:t>.</w:t>
      </w:r>
    </w:p>
    <w:p w:rsidR="00021BE2" w:rsidRPr="00425DBD" w:rsidRDefault="00021BE2" w:rsidP="00021BE2">
      <w:pPr>
        <w:pStyle w:val="Default"/>
        <w:ind w:left="360"/>
        <w:jc w:val="both"/>
        <w:rPr>
          <w:rFonts w:ascii="Arial" w:hAnsi="Arial" w:cs="Arial"/>
        </w:rPr>
      </w:pPr>
    </w:p>
    <w:p w:rsidR="00021BE2" w:rsidRPr="00425DBD" w:rsidRDefault="00021BE2" w:rsidP="00021BE2">
      <w:pPr>
        <w:pStyle w:val="Default"/>
        <w:numPr>
          <w:ilvl w:val="0"/>
          <w:numId w:val="11"/>
        </w:numPr>
        <w:jc w:val="both"/>
        <w:rPr>
          <w:rFonts w:ascii="Arial" w:hAnsi="Arial" w:cs="Arial"/>
        </w:rPr>
      </w:pPr>
      <w:r w:rsidRPr="00425DBD">
        <w:rPr>
          <w:rFonts w:ascii="Arial" w:hAnsi="Arial" w:cs="Arial"/>
        </w:rPr>
        <w:t xml:space="preserve">88(6)  The corporation is not liable for any expenses paid or payable to or recoverable by the insured under a medical, surgical, dental or hospital plan or law, or paid or payable by another insurer.  </w:t>
      </w:r>
      <w:r w:rsidRPr="00425DBD">
        <w:rPr>
          <w:rFonts w:ascii="Arial" w:hAnsi="Arial" w:cs="Arial"/>
          <w:i/>
        </w:rPr>
        <w:t>Note – this section confirms that ICBC is a secondary insurer</w:t>
      </w:r>
      <w:r w:rsidR="00D756DE">
        <w:rPr>
          <w:rFonts w:ascii="Arial" w:hAnsi="Arial" w:cs="Arial"/>
          <w:i/>
        </w:rPr>
        <w:t xml:space="preserve"> of last resort</w:t>
      </w:r>
      <w:r w:rsidRPr="00425DBD">
        <w:rPr>
          <w:rFonts w:ascii="Arial" w:hAnsi="Arial" w:cs="Arial"/>
          <w:i/>
        </w:rPr>
        <w:t>.</w:t>
      </w:r>
    </w:p>
    <w:p w:rsidR="00021BE2" w:rsidRPr="00425DBD" w:rsidRDefault="00021BE2" w:rsidP="00021BE2">
      <w:pPr>
        <w:pStyle w:val="ListParagraph"/>
        <w:rPr>
          <w:rFonts w:ascii="Arial" w:hAnsi="Arial" w:cs="Arial"/>
        </w:rPr>
      </w:pPr>
    </w:p>
    <w:p w:rsidR="000B6A1E" w:rsidRPr="00425DBD" w:rsidRDefault="00021BE2" w:rsidP="000B6A1E">
      <w:pPr>
        <w:pStyle w:val="Default"/>
        <w:numPr>
          <w:ilvl w:val="0"/>
          <w:numId w:val="11"/>
        </w:numPr>
        <w:jc w:val="both"/>
        <w:rPr>
          <w:rFonts w:ascii="Arial" w:hAnsi="Arial" w:cs="Arial"/>
        </w:rPr>
      </w:pPr>
      <w:r w:rsidRPr="00425DBD">
        <w:rPr>
          <w:rFonts w:ascii="Arial" w:hAnsi="Arial" w:cs="Arial"/>
          <w:b/>
        </w:rPr>
        <w:t xml:space="preserve">Power to terminate benefits </w:t>
      </w:r>
      <w:r w:rsidRPr="009A09BF">
        <w:rPr>
          <w:rFonts w:ascii="Arial" w:hAnsi="Arial" w:cs="Arial"/>
          <w:b/>
          <w:u w:val="single"/>
        </w:rPr>
        <w:t>for refusal</w:t>
      </w:r>
      <w:r w:rsidRPr="00425DBD">
        <w:rPr>
          <w:rFonts w:ascii="Arial" w:hAnsi="Arial" w:cs="Arial"/>
          <w:b/>
        </w:rPr>
        <w:t xml:space="preserve"> to undergo treatment or training </w:t>
      </w:r>
      <w:r w:rsidRPr="00425DBD">
        <w:rPr>
          <w:rFonts w:ascii="Arial" w:hAnsi="Arial" w:cs="Arial"/>
        </w:rPr>
        <w:t>- 90 (1)  Where, in the opinion of the corporation's medical adviser or vocational adviser and in the opinion of the medical practitioner attending an insured who is receiving benefits under section 80, 84, 86 or 88, (a) any medical, surgical or other similar treatment is likely to relieve in whole or part the disability of the insured, or (b) a retraining or educational program is likely to assist in the rehabilitation of the insured, the corporation may require the insured, at the expense of the corporation, to undergo treatment or complete the program. (2)  Subject to subsection (3), where an insured refuses to comply with a requirement under this section, the corporation may, after giving the insured at least 60 days' notice in writing, by registered mail, postage prepaid, addressed to the insured at his last address according to the corporation's records, terminate payment of benefits under section 80, 84, 86 or 88.</w:t>
      </w:r>
    </w:p>
    <w:p w:rsidR="00021BE2" w:rsidRPr="00425DBD" w:rsidRDefault="00021BE2" w:rsidP="00021BE2">
      <w:pPr>
        <w:pStyle w:val="ListParagraph"/>
        <w:rPr>
          <w:rFonts w:ascii="Arial" w:hAnsi="Arial" w:cs="Arial"/>
        </w:rPr>
      </w:pPr>
    </w:p>
    <w:p w:rsidR="00021BE2" w:rsidRPr="00425DBD" w:rsidRDefault="009A09BF" w:rsidP="000B6A1E">
      <w:pPr>
        <w:pStyle w:val="Default"/>
        <w:numPr>
          <w:ilvl w:val="0"/>
          <w:numId w:val="11"/>
        </w:numPr>
        <w:jc w:val="both"/>
        <w:rPr>
          <w:rFonts w:ascii="Arial" w:hAnsi="Arial" w:cs="Arial"/>
        </w:rPr>
      </w:pPr>
      <w:r>
        <w:rPr>
          <w:rFonts w:ascii="Arial" w:hAnsi="Arial" w:cs="Arial"/>
        </w:rPr>
        <w:t>Note: Death and funeral benefits are also available, and have been increased by the government’s recent announcement: $30,000 for death benefit, $7,500 for funeral expenses.</w:t>
      </w:r>
    </w:p>
    <w:p w:rsidR="00021BE2" w:rsidRPr="00425DBD" w:rsidRDefault="00021BE2" w:rsidP="00021BE2">
      <w:pPr>
        <w:pStyle w:val="ListParagraph"/>
        <w:rPr>
          <w:rFonts w:ascii="Arial" w:hAnsi="Arial" w:cs="Arial"/>
        </w:rPr>
      </w:pPr>
    </w:p>
    <w:p w:rsidR="00021BE2" w:rsidRDefault="00021BE2" w:rsidP="00021BE2">
      <w:pPr>
        <w:pStyle w:val="Default"/>
        <w:numPr>
          <w:ilvl w:val="0"/>
          <w:numId w:val="11"/>
        </w:numPr>
        <w:jc w:val="both"/>
        <w:rPr>
          <w:rFonts w:ascii="Arial" w:hAnsi="Arial" w:cs="Arial"/>
        </w:rPr>
      </w:pPr>
      <w:r w:rsidRPr="00425DBD">
        <w:rPr>
          <w:rFonts w:ascii="Arial" w:hAnsi="Arial" w:cs="Arial"/>
          <w:b/>
        </w:rPr>
        <w:t>Restriction on benefits</w:t>
      </w:r>
      <w:r w:rsidRPr="00425DBD">
        <w:rPr>
          <w:rFonts w:ascii="Arial" w:hAnsi="Arial" w:cs="Arial"/>
        </w:rPr>
        <w:t xml:space="preserve"> </w:t>
      </w:r>
      <w:r w:rsidR="00FD68C0">
        <w:rPr>
          <w:rFonts w:ascii="Arial" w:hAnsi="Arial" w:cs="Arial"/>
        </w:rPr>
        <w:t>–</w:t>
      </w:r>
      <w:r w:rsidRPr="00425DBD">
        <w:rPr>
          <w:rFonts w:ascii="Arial" w:hAnsi="Arial" w:cs="Arial"/>
        </w:rPr>
        <w:t xml:space="preserve"> </w:t>
      </w:r>
      <w:r w:rsidR="00FD68C0">
        <w:rPr>
          <w:rFonts w:ascii="Arial" w:hAnsi="Arial" w:cs="Arial"/>
        </w:rPr>
        <w:t xml:space="preserve">s. </w:t>
      </w:r>
      <w:r w:rsidRPr="00425DBD">
        <w:rPr>
          <w:rFonts w:ascii="Arial" w:hAnsi="Arial" w:cs="Arial"/>
        </w:rPr>
        <w:t>96 The corporation is not liable to pay benefits under this Part in respect of the injury or death of a person</w:t>
      </w:r>
    </w:p>
    <w:p w:rsidR="009A09BF" w:rsidRDefault="009A09BF" w:rsidP="009A09BF">
      <w:pPr>
        <w:pStyle w:val="ListParagraph"/>
        <w:rPr>
          <w:rFonts w:ascii="Arial" w:hAnsi="Arial" w:cs="Arial"/>
        </w:rPr>
      </w:pPr>
    </w:p>
    <w:p w:rsidR="00021BE2" w:rsidRPr="00425DBD" w:rsidRDefault="00021BE2" w:rsidP="00021BE2">
      <w:pPr>
        <w:pStyle w:val="Default"/>
        <w:ind w:left="720"/>
        <w:jc w:val="both"/>
        <w:rPr>
          <w:rFonts w:ascii="Arial" w:hAnsi="Arial" w:cs="Arial"/>
        </w:rPr>
      </w:pPr>
      <w:r w:rsidRPr="00425DBD">
        <w:rPr>
          <w:rFonts w:ascii="Arial" w:hAnsi="Arial" w:cs="Arial"/>
        </w:rPr>
        <w:t>(a) who is resident outside the Province and, at the time of the accident, is the occupant of a vehicle not described in an owner's certificate,</w:t>
      </w:r>
    </w:p>
    <w:p w:rsidR="00021BE2" w:rsidRPr="00425DBD" w:rsidRDefault="00021BE2" w:rsidP="00021BE2">
      <w:pPr>
        <w:pStyle w:val="Default"/>
        <w:ind w:left="720"/>
        <w:jc w:val="both"/>
        <w:rPr>
          <w:rFonts w:ascii="Arial" w:hAnsi="Arial" w:cs="Arial"/>
        </w:rPr>
      </w:pPr>
    </w:p>
    <w:p w:rsidR="00021BE2" w:rsidRPr="00425DBD" w:rsidRDefault="00021BE2" w:rsidP="00021BE2">
      <w:pPr>
        <w:pStyle w:val="Default"/>
        <w:ind w:left="720"/>
        <w:jc w:val="both"/>
        <w:rPr>
          <w:rFonts w:ascii="Arial" w:hAnsi="Arial" w:cs="Arial"/>
        </w:rPr>
      </w:pPr>
      <w:r w:rsidRPr="00425DBD">
        <w:rPr>
          <w:rFonts w:ascii="Arial" w:hAnsi="Arial" w:cs="Arial"/>
        </w:rPr>
        <w:t>(c) who commits suicide or attempts to commit suicide, whether he is sane or insane,</w:t>
      </w:r>
    </w:p>
    <w:p w:rsidR="00CF3071" w:rsidRPr="00425DBD" w:rsidRDefault="00CF3071" w:rsidP="00021BE2">
      <w:pPr>
        <w:pStyle w:val="Default"/>
        <w:ind w:left="720"/>
        <w:jc w:val="both"/>
        <w:rPr>
          <w:rFonts w:ascii="Arial" w:hAnsi="Arial" w:cs="Arial"/>
        </w:rPr>
      </w:pPr>
    </w:p>
    <w:p w:rsidR="00021BE2" w:rsidRPr="00425DBD" w:rsidRDefault="00021BE2" w:rsidP="00021BE2">
      <w:pPr>
        <w:pStyle w:val="Default"/>
        <w:ind w:left="720"/>
        <w:jc w:val="both"/>
        <w:rPr>
          <w:rFonts w:ascii="Arial" w:hAnsi="Arial" w:cs="Arial"/>
        </w:rPr>
      </w:pPr>
      <w:r w:rsidRPr="00425DBD">
        <w:rPr>
          <w:rFonts w:ascii="Arial" w:hAnsi="Arial" w:cs="Arial"/>
        </w:rPr>
        <w:t>(e) who is the occupant of a vehicle that, at the time of the accident, is being used for an illicit or prohibited trade or transport, or</w:t>
      </w:r>
    </w:p>
    <w:p w:rsidR="00CF3071" w:rsidRPr="00425DBD" w:rsidRDefault="00CF3071" w:rsidP="00021BE2">
      <w:pPr>
        <w:pStyle w:val="Default"/>
        <w:ind w:left="720"/>
        <w:jc w:val="both"/>
        <w:rPr>
          <w:rFonts w:ascii="Arial" w:hAnsi="Arial" w:cs="Arial"/>
        </w:rPr>
      </w:pPr>
    </w:p>
    <w:p w:rsidR="00021BE2" w:rsidRPr="00425DBD" w:rsidRDefault="00021BE2" w:rsidP="00021BE2">
      <w:pPr>
        <w:pStyle w:val="Default"/>
        <w:ind w:left="720"/>
        <w:jc w:val="both"/>
        <w:rPr>
          <w:rFonts w:ascii="Arial" w:hAnsi="Arial" w:cs="Arial"/>
        </w:rPr>
      </w:pPr>
      <w:r w:rsidRPr="00425DBD">
        <w:rPr>
          <w:rFonts w:ascii="Arial" w:hAnsi="Arial" w:cs="Arial"/>
        </w:rPr>
        <w:t>(f) whose injury or death is caused, directly or indirectly, by sickness or disease, unless the sickness or disease was contracted as a direct result of an accident for which benefits are provided under this Part.</w:t>
      </w:r>
    </w:p>
    <w:p w:rsidR="00CF3071" w:rsidRPr="00425DBD" w:rsidRDefault="00CF3071" w:rsidP="000B6A1E">
      <w:pPr>
        <w:pStyle w:val="Default"/>
        <w:jc w:val="both"/>
        <w:rPr>
          <w:rFonts w:ascii="Arial" w:hAnsi="Arial" w:cs="Arial"/>
        </w:rPr>
      </w:pPr>
    </w:p>
    <w:p w:rsidR="001A32BF" w:rsidRPr="00425DBD" w:rsidRDefault="001A32BF">
      <w:pPr>
        <w:rPr>
          <w:rFonts w:ascii="Arial" w:hAnsi="Arial" w:cs="Arial"/>
        </w:rPr>
      </w:pPr>
    </w:p>
    <w:p w:rsidR="00FD68C0" w:rsidRDefault="00FD68C0" w:rsidP="00D756DE">
      <w:pPr>
        <w:pStyle w:val="ListParagraph"/>
        <w:numPr>
          <w:ilvl w:val="0"/>
          <w:numId w:val="17"/>
        </w:numPr>
        <w:spacing w:after="240"/>
        <w:ind w:left="450"/>
        <w:jc w:val="both"/>
        <w:rPr>
          <w:rFonts w:ascii="Arial" w:hAnsi="Arial" w:cs="Arial"/>
        </w:rPr>
      </w:pPr>
      <w:r>
        <w:rPr>
          <w:rFonts w:ascii="Arial" w:hAnsi="Arial" w:cs="Arial"/>
        </w:rPr>
        <w:t>Under section 99 of Part 7, IC</w:t>
      </w:r>
      <w:r w:rsidR="009F6E5C">
        <w:rPr>
          <w:rFonts w:ascii="Arial" w:hAnsi="Arial" w:cs="Arial"/>
        </w:rPr>
        <w:t xml:space="preserve">BC can compel the insured to a </w:t>
      </w:r>
      <w:r w:rsidRPr="009F6E5C">
        <w:rPr>
          <w:rFonts w:ascii="Arial" w:hAnsi="Arial" w:cs="Arial"/>
          <w:b/>
        </w:rPr>
        <w:t>medical examination</w:t>
      </w:r>
      <w:r>
        <w:rPr>
          <w:rFonts w:ascii="Arial" w:hAnsi="Arial" w:cs="Arial"/>
        </w:rPr>
        <w:t xml:space="preserve"> with one of its physicians: </w:t>
      </w:r>
    </w:p>
    <w:p w:rsidR="00FD68C0" w:rsidRPr="00FD68C0" w:rsidRDefault="00FD68C0" w:rsidP="00FD68C0">
      <w:pPr>
        <w:shd w:val="clear" w:color="auto" w:fill="FFFFFF"/>
        <w:spacing w:before="360" w:line="288" w:lineRule="atLeast"/>
        <w:ind w:left="810"/>
        <w:outlineLvl w:val="3"/>
        <w:rPr>
          <w:rFonts w:ascii="Arial" w:eastAsia="Times New Roman" w:hAnsi="Arial" w:cs="Arial"/>
          <w:b/>
          <w:bCs/>
          <w:color w:val="000000"/>
          <w:sz w:val="22"/>
          <w:szCs w:val="22"/>
        </w:rPr>
      </w:pPr>
      <w:r w:rsidRPr="00FD68C0">
        <w:rPr>
          <w:rFonts w:ascii="Arial" w:eastAsia="Times New Roman" w:hAnsi="Arial" w:cs="Arial"/>
          <w:b/>
          <w:bCs/>
          <w:color w:val="000000"/>
          <w:sz w:val="22"/>
          <w:szCs w:val="22"/>
        </w:rPr>
        <w:t>Medical examination</w:t>
      </w:r>
    </w:p>
    <w:p w:rsidR="00FD68C0" w:rsidRPr="00FD68C0" w:rsidRDefault="00FD68C0" w:rsidP="00FD68C0">
      <w:pPr>
        <w:shd w:val="clear" w:color="auto" w:fill="FFFFFF"/>
        <w:tabs>
          <w:tab w:val="left" w:pos="1440"/>
        </w:tabs>
        <w:spacing w:line="360" w:lineRule="atLeast"/>
        <w:ind w:left="1440" w:hanging="630"/>
        <w:rPr>
          <w:rFonts w:ascii="Arial" w:eastAsia="Times New Roman" w:hAnsi="Arial" w:cs="Arial"/>
          <w:color w:val="000000"/>
          <w:sz w:val="22"/>
          <w:szCs w:val="22"/>
        </w:rPr>
      </w:pPr>
      <w:r w:rsidRPr="00FD68C0">
        <w:rPr>
          <w:rFonts w:ascii="Arial" w:eastAsia="Times New Roman" w:hAnsi="Arial" w:cs="Arial"/>
          <w:b/>
          <w:bCs/>
          <w:color w:val="000000"/>
          <w:sz w:val="21"/>
          <w:szCs w:val="21"/>
        </w:rPr>
        <w:t>99</w:t>
      </w:r>
      <w:r w:rsidRPr="00FD68C0">
        <w:rPr>
          <w:rFonts w:ascii="Arial" w:eastAsia="Times New Roman" w:hAnsi="Arial" w:cs="Arial"/>
          <w:color w:val="000000"/>
          <w:sz w:val="22"/>
          <w:szCs w:val="22"/>
        </w:rPr>
        <w:t>   </w:t>
      </w:r>
      <w:bookmarkStart w:id="14" w:name="d2e6736_d2e6745_"/>
      <w:bookmarkEnd w:id="14"/>
      <w:r>
        <w:rPr>
          <w:rFonts w:ascii="Arial" w:eastAsia="Times New Roman" w:hAnsi="Arial" w:cs="Arial"/>
          <w:color w:val="000000"/>
          <w:sz w:val="22"/>
          <w:szCs w:val="22"/>
        </w:rPr>
        <w:tab/>
      </w:r>
      <w:r w:rsidRPr="00FD68C0">
        <w:rPr>
          <w:rFonts w:ascii="Arial" w:eastAsia="Times New Roman" w:hAnsi="Arial" w:cs="Arial"/>
          <w:color w:val="000000"/>
          <w:sz w:val="22"/>
          <w:szCs w:val="22"/>
        </w:rPr>
        <w:t>(1) An insured who makes a claim under this Part shall allow a medical practitioner, dentist, physiotherapist or chiropractor selected by the corporation, at the expense of the corporation, to examine the insured as often as it requires.</w:t>
      </w:r>
    </w:p>
    <w:p w:rsidR="00FD68C0" w:rsidRPr="00FD68C0" w:rsidRDefault="00FD68C0" w:rsidP="00FD68C0">
      <w:pPr>
        <w:shd w:val="clear" w:color="auto" w:fill="FFFFFF"/>
        <w:tabs>
          <w:tab w:val="left" w:pos="1440"/>
        </w:tabs>
        <w:spacing w:line="360" w:lineRule="atLeast"/>
        <w:ind w:left="1440" w:hanging="630"/>
        <w:rPr>
          <w:rFonts w:ascii="Arial" w:eastAsia="Times New Roman" w:hAnsi="Arial" w:cs="Arial"/>
          <w:color w:val="000000"/>
          <w:sz w:val="22"/>
          <w:szCs w:val="22"/>
        </w:rPr>
      </w:pPr>
      <w:bookmarkStart w:id="15" w:name="d2e6745"/>
      <w:bookmarkEnd w:id="15"/>
      <w:r>
        <w:rPr>
          <w:rFonts w:ascii="Arial" w:eastAsia="Times New Roman" w:hAnsi="Arial" w:cs="Arial"/>
          <w:color w:val="000000"/>
          <w:sz w:val="22"/>
          <w:szCs w:val="22"/>
        </w:rPr>
        <w:tab/>
      </w:r>
      <w:r w:rsidRPr="00FD68C0">
        <w:rPr>
          <w:rFonts w:ascii="Arial" w:eastAsia="Times New Roman" w:hAnsi="Arial" w:cs="Arial"/>
          <w:color w:val="000000"/>
          <w:sz w:val="22"/>
          <w:szCs w:val="22"/>
        </w:rPr>
        <w:t>(2)The corporation is not liable to an insured who, to the prejudice of the corporation, fails to comply with this section.</w:t>
      </w:r>
    </w:p>
    <w:p w:rsidR="00FD68C0" w:rsidRPr="00FD68C0" w:rsidRDefault="00FD68C0" w:rsidP="00FD68C0">
      <w:pPr>
        <w:pStyle w:val="ListParagraph"/>
        <w:spacing w:after="240"/>
        <w:ind w:left="780"/>
        <w:rPr>
          <w:rFonts w:ascii="Arial" w:hAnsi="Arial" w:cs="Arial"/>
        </w:rPr>
      </w:pPr>
    </w:p>
    <w:p w:rsidR="00FD68C0" w:rsidRDefault="00FD68C0" w:rsidP="00D756DE">
      <w:pPr>
        <w:pStyle w:val="ListParagraph"/>
        <w:numPr>
          <w:ilvl w:val="0"/>
          <w:numId w:val="17"/>
        </w:numPr>
        <w:spacing w:after="240"/>
        <w:ind w:left="720"/>
        <w:jc w:val="both"/>
        <w:rPr>
          <w:rFonts w:ascii="Arial" w:hAnsi="Arial" w:cs="Arial"/>
        </w:rPr>
      </w:pPr>
      <w:r>
        <w:rPr>
          <w:rFonts w:ascii="Arial" w:hAnsi="Arial" w:cs="Arial"/>
        </w:rPr>
        <w:t>These early IMEs under Part 7 may bind ICBC’s ability to later send the injured plaintiff to another independent medical examination</w:t>
      </w:r>
      <w:r w:rsidR="00D756DE">
        <w:rPr>
          <w:rFonts w:ascii="Arial" w:hAnsi="Arial" w:cs="Arial"/>
        </w:rPr>
        <w:t xml:space="preserve"> with a new physician</w:t>
      </w:r>
      <w:r>
        <w:rPr>
          <w:rFonts w:ascii="Arial" w:hAnsi="Arial" w:cs="Arial"/>
        </w:rPr>
        <w:t xml:space="preserve"> in the context of the tort action.</w:t>
      </w:r>
    </w:p>
    <w:p w:rsidR="00D756DE" w:rsidRDefault="00D756DE" w:rsidP="00D756DE">
      <w:pPr>
        <w:pStyle w:val="ListParagraph"/>
        <w:spacing w:after="240"/>
        <w:ind w:left="780"/>
        <w:jc w:val="both"/>
        <w:rPr>
          <w:rFonts w:ascii="Arial" w:hAnsi="Arial" w:cs="Arial"/>
        </w:rPr>
      </w:pPr>
    </w:p>
    <w:tbl>
      <w:tblPr>
        <w:tblW w:w="14127" w:type="dxa"/>
        <w:tblInd w:w="-90" w:type="dxa"/>
        <w:tblCellMar>
          <w:left w:w="0" w:type="dxa"/>
          <w:right w:w="0" w:type="dxa"/>
        </w:tblCellMar>
        <w:tblLook w:val="04A0" w:firstRow="1" w:lastRow="0" w:firstColumn="1" w:lastColumn="0" w:noHBand="0" w:noVBand="1"/>
      </w:tblPr>
      <w:tblGrid>
        <w:gridCol w:w="4680"/>
        <w:gridCol w:w="4680"/>
        <w:gridCol w:w="90"/>
        <w:gridCol w:w="4677"/>
      </w:tblGrid>
      <w:tr w:rsidR="00425DBD" w:rsidRPr="00425DBD" w:rsidTr="00D756DE">
        <w:trPr>
          <w:gridAfter w:val="1"/>
          <w:wAfter w:w="4677" w:type="dxa"/>
        </w:trPr>
        <w:tc>
          <w:tcPr>
            <w:tcW w:w="9450" w:type="dxa"/>
            <w:gridSpan w:val="3"/>
            <w:tcMar>
              <w:top w:w="0" w:type="dxa"/>
              <w:left w:w="108" w:type="dxa"/>
              <w:bottom w:w="0" w:type="dxa"/>
              <w:right w:w="108" w:type="dxa"/>
            </w:tcMar>
            <w:hideMark/>
          </w:tcPr>
          <w:p w:rsidR="00425DBD" w:rsidRDefault="00FD68C0" w:rsidP="003F4126">
            <w:pPr>
              <w:pStyle w:val="ListParagraph"/>
              <w:numPr>
                <w:ilvl w:val="0"/>
                <w:numId w:val="18"/>
              </w:numPr>
              <w:jc w:val="both"/>
              <w:rPr>
                <w:rFonts w:ascii="Arial" w:eastAsia="Times New Roman" w:hAnsi="Arial" w:cs="Arial"/>
                <w:lang w:val="en-CA" w:eastAsia="en-CA"/>
              </w:rPr>
            </w:pPr>
            <w:r>
              <w:rPr>
                <w:rFonts w:ascii="Arial" w:eastAsia="Times New Roman" w:hAnsi="Arial" w:cs="Arial"/>
                <w:lang w:val="en-CA" w:eastAsia="en-CA"/>
              </w:rPr>
              <w:t xml:space="preserve">In </w:t>
            </w:r>
            <w:proofErr w:type="spellStart"/>
            <w:r>
              <w:rPr>
                <w:rFonts w:ascii="Arial" w:eastAsia="Times New Roman" w:hAnsi="Arial" w:cs="Arial"/>
                <w:i/>
                <w:lang w:val="en-CA" w:eastAsia="en-CA"/>
              </w:rPr>
              <w:t>Huppee</w:t>
            </w:r>
            <w:proofErr w:type="spellEnd"/>
            <w:r>
              <w:rPr>
                <w:rFonts w:ascii="Arial" w:eastAsia="Times New Roman" w:hAnsi="Arial" w:cs="Arial"/>
                <w:i/>
                <w:lang w:val="en-CA" w:eastAsia="en-CA"/>
              </w:rPr>
              <w:t xml:space="preserve"> v. Nowlin, </w:t>
            </w:r>
            <w:r>
              <w:rPr>
                <w:rFonts w:ascii="Arial" w:eastAsia="Times New Roman" w:hAnsi="Arial" w:cs="Arial"/>
                <w:lang w:val="en-CA" w:eastAsia="en-CA"/>
              </w:rPr>
              <w:t>2018 BCSC 27, the defendant wanted to compel the plaintiff to a vocational assessment, but ICBC had already compelled the plaintiff to an early vocational assessmen</w:t>
            </w:r>
            <w:r w:rsidR="003F4126">
              <w:rPr>
                <w:rFonts w:ascii="Arial" w:eastAsia="Times New Roman" w:hAnsi="Arial" w:cs="Arial"/>
                <w:lang w:val="en-CA" w:eastAsia="en-CA"/>
              </w:rPr>
              <w:t xml:space="preserve">t </w:t>
            </w:r>
            <w:r w:rsidR="00D756DE">
              <w:rPr>
                <w:rFonts w:ascii="Arial" w:eastAsia="Times New Roman" w:hAnsi="Arial" w:cs="Arial"/>
                <w:lang w:val="en-CA" w:eastAsia="en-CA"/>
              </w:rPr>
              <w:t xml:space="preserve">just </w:t>
            </w:r>
            <w:r w:rsidR="003F4126">
              <w:rPr>
                <w:rFonts w:ascii="Arial" w:eastAsia="Times New Roman" w:hAnsi="Arial" w:cs="Arial"/>
                <w:lang w:val="en-CA" w:eastAsia="en-CA"/>
              </w:rPr>
              <w:t xml:space="preserve">18 months before under Part 7: </w:t>
            </w:r>
          </w:p>
          <w:p w:rsidR="003F4126" w:rsidRDefault="003F4126" w:rsidP="003F4126">
            <w:pPr>
              <w:pStyle w:val="ListParagraph"/>
              <w:jc w:val="both"/>
              <w:rPr>
                <w:rFonts w:ascii="Arial" w:eastAsia="Times New Roman" w:hAnsi="Arial" w:cs="Arial"/>
                <w:lang w:val="en-CA" w:eastAsia="en-CA"/>
              </w:rPr>
            </w:pPr>
          </w:p>
          <w:p w:rsidR="003F4126" w:rsidRPr="003F4126" w:rsidRDefault="003F4126" w:rsidP="003F4126">
            <w:pPr>
              <w:pStyle w:val="scjnumber"/>
              <w:shd w:val="clear" w:color="auto" w:fill="FFFFFF"/>
              <w:spacing w:before="0" w:beforeAutospacing="0" w:after="240" w:afterAutospacing="0"/>
              <w:ind w:left="795"/>
              <w:jc w:val="both"/>
              <w:rPr>
                <w:rFonts w:ascii="Arial" w:hAnsi="Arial" w:cs="Arial"/>
                <w:color w:val="000000"/>
                <w:sz w:val="22"/>
                <w:szCs w:val="22"/>
              </w:rPr>
            </w:pPr>
            <w:r w:rsidRPr="003F4126">
              <w:rPr>
                <w:rFonts w:ascii="Arial" w:hAnsi="Arial" w:cs="Arial"/>
                <w:color w:val="000000"/>
                <w:sz w:val="22"/>
                <w:szCs w:val="22"/>
              </w:rPr>
              <w:t>[</w:t>
            </w:r>
            <w:bookmarkStart w:id="16" w:name="par24"/>
            <w:r w:rsidRPr="003F4126">
              <w:rPr>
                <w:rFonts w:ascii="Arial" w:hAnsi="Arial" w:cs="Arial"/>
                <w:color w:val="027ABB"/>
                <w:sz w:val="22"/>
                <w:szCs w:val="22"/>
              </w:rPr>
              <w:t>24</w:t>
            </w:r>
            <w:bookmarkEnd w:id="16"/>
            <w:r w:rsidRPr="003F4126">
              <w:rPr>
                <w:rFonts w:ascii="Arial" w:hAnsi="Arial" w:cs="Arial"/>
                <w:color w:val="000000"/>
                <w:sz w:val="22"/>
                <w:szCs w:val="22"/>
              </w:rPr>
              <w:t>]</w:t>
            </w:r>
            <w:r w:rsidRPr="003F4126">
              <w:rPr>
                <w:color w:val="000000"/>
                <w:sz w:val="22"/>
                <w:szCs w:val="22"/>
              </w:rPr>
              <w:t>        </w:t>
            </w:r>
            <w:r w:rsidRPr="003F4126">
              <w:rPr>
                <w:rFonts w:ascii="Arial" w:hAnsi="Arial" w:cs="Arial"/>
                <w:color w:val="000000"/>
                <w:sz w:val="22"/>
                <w:szCs w:val="22"/>
              </w:rPr>
              <w:t>The parties agree that an examination under Part 7 may or may not be considered as a first independent medical examination in the tort action, depending on the circumstances. This issue has been the subject of many previous decisions in British Columbia. In </w:t>
            </w:r>
            <w:r w:rsidRPr="003F4126">
              <w:rPr>
                <w:rFonts w:ascii="Arial" w:hAnsi="Arial" w:cs="Arial"/>
                <w:i/>
                <w:iCs/>
                <w:color w:val="000000"/>
                <w:sz w:val="22"/>
                <w:szCs w:val="22"/>
              </w:rPr>
              <w:t>Vorasarn v. Manning</w:t>
            </w:r>
            <w:r w:rsidRPr="003F4126">
              <w:rPr>
                <w:rFonts w:ascii="Arial" w:hAnsi="Arial" w:cs="Arial"/>
                <w:color w:val="000000"/>
                <w:sz w:val="22"/>
                <w:szCs w:val="22"/>
              </w:rPr>
              <w:t>, </w:t>
            </w:r>
            <w:hyperlink r:id="rId14" w:history="1">
              <w:r w:rsidRPr="003F4126">
                <w:rPr>
                  <w:rStyle w:val="Hyperlink"/>
                  <w:rFonts w:ascii="Arial" w:hAnsi="Arial" w:cs="Arial"/>
                  <w:color w:val="027ABB"/>
                  <w:sz w:val="22"/>
                  <w:szCs w:val="22"/>
                </w:rPr>
                <w:t>1997 CanLII 2351 (BC CA)</w:t>
              </w:r>
            </w:hyperlink>
            <w:r w:rsidRPr="003F4126">
              <w:rPr>
                <w:rStyle w:val="reflex3-block"/>
                <w:rFonts w:ascii="Arial" w:hAnsi="Arial" w:cs="Arial"/>
                <w:color w:val="000000"/>
                <w:sz w:val="22"/>
                <w:szCs w:val="22"/>
              </w:rPr>
              <w:t>, </w:t>
            </w:r>
            <w:r w:rsidRPr="003F4126">
              <w:rPr>
                <w:rStyle w:val="reflex3-alt"/>
                <w:rFonts w:ascii="Arial" w:hAnsi="Arial" w:cs="Arial"/>
                <w:color w:val="000000"/>
                <w:sz w:val="22"/>
                <w:szCs w:val="22"/>
              </w:rPr>
              <w:t>1997, 30 B.C.L.R. (3rd) 63</w:t>
            </w:r>
            <w:r w:rsidRPr="003F4126">
              <w:rPr>
                <w:rFonts w:ascii="Arial" w:hAnsi="Arial" w:cs="Arial"/>
                <w:color w:val="000000"/>
                <w:sz w:val="22"/>
                <w:szCs w:val="22"/>
              </w:rPr>
              <w:t>, the Court of Appeal drew a clear distinction between ICBC’s rehabilitation department, who were responsible for handling the plaintiff’s claim as an ICBC insured, with ICBC’s role in handling the defence of the plaintiff’s tort claim on behalf of the defendant.</w:t>
            </w:r>
          </w:p>
          <w:p w:rsidR="003F4126" w:rsidRPr="003F4126" w:rsidRDefault="003F4126" w:rsidP="003F4126">
            <w:pPr>
              <w:pStyle w:val="scjnumber"/>
              <w:shd w:val="clear" w:color="auto" w:fill="FFFFFF"/>
              <w:spacing w:before="0" w:beforeAutospacing="0" w:after="120" w:afterAutospacing="0"/>
              <w:ind w:left="795"/>
              <w:jc w:val="both"/>
              <w:rPr>
                <w:rFonts w:ascii="Arial" w:hAnsi="Arial" w:cs="Arial"/>
                <w:color w:val="000000"/>
                <w:sz w:val="22"/>
                <w:szCs w:val="22"/>
              </w:rPr>
            </w:pPr>
            <w:r w:rsidRPr="003F4126">
              <w:rPr>
                <w:rFonts w:ascii="Arial" w:hAnsi="Arial" w:cs="Arial"/>
                <w:color w:val="000000"/>
                <w:sz w:val="22"/>
                <w:szCs w:val="22"/>
              </w:rPr>
              <w:t>[</w:t>
            </w:r>
            <w:bookmarkStart w:id="17" w:name="par25"/>
            <w:r w:rsidRPr="003F4126">
              <w:rPr>
                <w:rFonts w:ascii="Arial" w:hAnsi="Arial" w:cs="Arial"/>
                <w:color w:val="027ABB"/>
                <w:sz w:val="22"/>
                <w:szCs w:val="22"/>
              </w:rPr>
              <w:t>25</w:t>
            </w:r>
            <w:bookmarkEnd w:id="17"/>
            <w:r w:rsidRPr="003F4126">
              <w:rPr>
                <w:rFonts w:ascii="Arial" w:hAnsi="Arial" w:cs="Arial"/>
                <w:color w:val="000000"/>
                <w:sz w:val="22"/>
                <w:szCs w:val="22"/>
              </w:rPr>
              <w:t>]</w:t>
            </w:r>
            <w:r w:rsidRPr="003F4126">
              <w:rPr>
                <w:color w:val="000000"/>
                <w:sz w:val="22"/>
                <w:szCs w:val="22"/>
              </w:rPr>
              <w:t>        </w:t>
            </w:r>
            <w:r w:rsidRPr="003F4126">
              <w:rPr>
                <w:rFonts w:ascii="Arial" w:hAnsi="Arial" w:cs="Arial"/>
                <w:color w:val="000000"/>
                <w:sz w:val="22"/>
                <w:szCs w:val="22"/>
              </w:rPr>
              <w:t>In </w:t>
            </w:r>
            <w:r w:rsidRPr="003F4126">
              <w:rPr>
                <w:rFonts w:ascii="Arial" w:hAnsi="Arial" w:cs="Arial"/>
                <w:i/>
                <w:iCs/>
                <w:color w:val="000000"/>
                <w:sz w:val="22"/>
                <w:szCs w:val="22"/>
              </w:rPr>
              <w:t>Rathgeber v. Freeman</w:t>
            </w:r>
            <w:r w:rsidRPr="003F4126">
              <w:rPr>
                <w:rFonts w:ascii="Arial" w:hAnsi="Arial" w:cs="Arial"/>
                <w:color w:val="000000"/>
                <w:sz w:val="22"/>
                <w:szCs w:val="22"/>
              </w:rPr>
              <w:t>, </w:t>
            </w:r>
            <w:hyperlink r:id="rId15" w:history="1">
              <w:r w:rsidRPr="003F4126">
                <w:rPr>
                  <w:rStyle w:val="reflex3-alt"/>
                  <w:rFonts w:ascii="Arial" w:hAnsi="Arial" w:cs="Arial"/>
                  <w:color w:val="027ABB"/>
                  <w:sz w:val="22"/>
                  <w:szCs w:val="22"/>
                </w:rPr>
                <w:t>2013 BCSC 2117 (CanLII)</w:t>
              </w:r>
            </w:hyperlink>
            <w:r w:rsidRPr="003F4126">
              <w:rPr>
                <w:rFonts w:ascii="Arial" w:hAnsi="Arial" w:cs="Arial"/>
                <w:color w:val="000000"/>
                <w:sz w:val="22"/>
                <w:szCs w:val="22"/>
              </w:rPr>
              <w:t>, Master Keighley summarized the evolution of the approach taken by courts on such applications, and concluded that the court now looks at all of the surrounding circumstances as opposed to focussing on what he described as an ‘atomistic view’:</w:t>
            </w:r>
          </w:p>
          <w:p w:rsidR="003F4126" w:rsidRPr="003F4126" w:rsidRDefault="003F4126" w:rsidP="00D756DE">
            <w:pPr>
              <w:pStyle w:val="scjquote"/>
              <w:shd w:val="clear" w:color="auto" w:fill="FFFFFF"/>
              <w:spacing w:before="0" w:beforeAutospacing="0" w:after="120" w:afterAutospacing="0"/>
              <w:ind w:left="1420" w:right="720"/>
              <w:jc w:val="both"/>
              <w:rPr>
                <w:rFonts w:ascii="Arial" w:hAnsi="Arial" w:cs="Arial"/>
                <w:color w:val="000000"/>
                <w:sz w:val="22"/>
                <w:szCs w:val="22"/>
              </w:rPr>
            </w:pPr>
            <w:r w:rsidRPr="003F4126">
              <w:rPr>
                <w:rFonts w:ascii="Arial" w:hAnsi="Arial" w:cs="Arial"/>
                <w:color w:val="000000"/>
                <w:sz w:val="22"/>
                <w:szCs w:val="22"/>
              </w:rPr>
              <w:t>[18]      Until quite recently, in considering applications of this nature (namely, defence applications for medical examinations in tort actions following prior examinations in Part 7 claims), the court may be said to have taken an atomistic view of the circumstances leading up to the application, considering, for example:</w:t>
            </w:r>
          </w:p>
          <w:p w:rsidR="003F4126" w:rsidRPr="003F4126" w:rsidRDefault="00D756DE" w:rsidP="00D756DE">
            <w:pPr>
              <w:pStyle w:val="scjquote"/>
              <w:numPr>
                <w:ilvl w:val="0"/>
                <w:numId w:val="26"/>
              </w:numPr>
              <w:shd w:val="clear" w:color="auto" w:fill="FFFFFF"/>
              <w:spacing w:before="0" w:beforeAutospacing="0" w:after="120" w:afterAutospacing="0"/>
              <w:ind w:right="720"/>
              <w:jc w:val="both"/>
              <w:rPr>
                <w:rFonts w:ascii="Arial" w:hAnsi="Arial" w:cs="Arial"/>
                <w:color w:val="000000"/>
                <w:sz w:val="22"/>
                <w:szCs w:val="22"/>
              </w:rPr>
            </w:pPr>
            <w:r>
              <w:rPr>
                <w:rFonts w:ascii="Arial" w:hAnsi="Arial" w:cs="Arial"/>
                <w:color w:val="000000"/>
                <w:sz w:val="22"/>
                <w:szCs w:val="22"/>
              </w:rPr>
              <w:t>W</w:t>
            </w:r>
            <w:r w:rsidR="003F4126" w:rsidRPr="003F4126">
              <w:rPr>
                <w:rFonts w:ascii="Arial" w:hAnsi="Arial" w:cs="Arial"/>
                <w:color w:val="000000"/>
                <w:sz w:val="22"/>
                <w:szCs w:val="22"/>
              </w:rPr>
              <w:t>hether the adjuster and/or counsel in the tort action were excluded from participating in the selection of the examiner: </w:t>
            </w:r>
            <w:r w:rsidR="003F4126" w:rsidRPr="003F4126">
              <w:rPr>
                <w:rFonts w:ascii="Arial" w:hAnsi="Arial" w:cs="Arial"/>
                <w:i/>
                <w:iCs/>
                <w:color w:val="000000"/>
                <w:sz w:val="22"/>
                <w:szCs w:val="22"/>
              </w:rPr>
              <w:t>Vorasarn v. Manning</w:t>
            </w:r>
            <w:r w:rsidR="003F4126" w:rsidRPr="003F4126">
              <w:rPr>
                <w:rFonts w:ascii="Arial" w:hAnsi="Arial" w:cs="Arial"/>
                <w:color w:val="000000"/>
                <w:sz w:val="22"/>
                <w:szCs w:val="22"/>
              </w:rPr>
              <w:t>, </w:t>
            </w:r>
            <w:hyperlink r:id="rId16" w:history="1">
              <w:r w:rsidR="003F4126" w:rsidRPr="003F4126">
                <w:rPr>
                  <w:rStyle w:val="Hyperlink"/>
                  <w:rFonts w:ascii="Arial" w:hAnsi="Arial" w:cs="Arial"/>
                  <w:color w:val="027ABB"/>
                  <w:sz w:val="22"/>
                  <w:szCs w:val="22"/>
                </w:rPr>
                <w:t>1997 CanLII 2351 (BC CA)</w:t>
              </w:r>
            </w:hyperlink>
            <w:r w:rsidR="003F4126" w:rsidRPr="003F4126">
              <w:rPr>
                <w:rStyle w:val="reflex3-block"/>
                <w:rFonts w:ascii="Arial" w:hAnsi="Arial" w:cs="Arial"/>
                <w:color w:val="000000"/>
                <w:sz w:val="22"/>
                <w:szCs w:val="22"/>
              </w:rPr>
              <w:t>, </w:t>
            </w:r>
            <w:r w:rsidR="003F4126" w:rsidRPr="003F4126">
              <w:rPr>
                <w:rStyle w:val="reflex3-alt"/>
                <w:rFonts w:ascii="Arial" w:hAnsi="Arial" w:cs="Arial"/>
                <w:color w:val="000000"/>
                <w:sz w:val="22"/>
                <w:szCs w:val="22"/>
              </w:rPr>
              <w:t>[1997] 30 B.C.L.R. (3d) 63 (B.C.C.A.)</w:t>
            </w:r>
            <w:r w:rsidR="003F4126" w:rsidRPr="003F4126">
              <w:rPr>
                <w:rFonts w:ascii="Arial" w:hAnsi="Arial" w:cs="Arial"/>
                <w:color w:val="000000"/>
                <w:sz w:val="22"/>
                <w:szCs w:val="22"/>
              </w:rPr>
              <w:t>; </w:t>
            </w:r>
            <w:r w:rsidR="003F4126" w:rsidRPr="003F4126">
              <w:rPr>
                <w:rFonts w:ascii="Arial" w:hAnsi="Arial" w:cs="Arial"/>
                <w:i/>
                <w:iCs/>
                <w:color w:val="000000"/>
                <w:sz w:val="22"/>
                <w:szCs w:val="22"/>
              </w:rPr>
              <w:t>Hamada v. Semple</w:t>
            </w:r>
            <w:r w:rsidR="003F4126" w:rsidRPr="003F4126">
              <w:rPr>
                <w:rFonts w:ascii="Arial" w:hAnsi="Arial" w:cs="Arial"/>
                <w:color w:val="000000"/>
                <w:sz w:val="22"/>
                <w:szCs w:val="22"/>
              </w:rPr>
              <w:t>, </w:t>
            </w:r>
            <w:r w:rsidR="003F4126" w:rsidRPr="003F4126">
              <w:rPr>
                <w:rStyle w:val="reflex3-alt"/>
                <w:rFonts w:ascii="Arial" w:hAnsi="Arial" w:cs="Arial"/>
                <w:color w:val="000000"/>
                <w:sz w:val="22"/>
                <w:szCs w:val="22"/>
              </w:rPr>
              <w:t>[1983] B.C.J. No. 1307</w:t>
            </w:r>
            <w:r w:rsidR="003F4126" w:rsidRPr="003F4126">
              <w:rPr>
                <w:rFonts w:ascii="Arial" w:hAnsi="Arial" w:cs="Arial"/>
                <w:color w:val="000000"/>
                <w:sz w:val="22"/>
                <w:szCs w:val="22"/>
              </w:rPr>
              <w:t>;</w:t>
            </w:r>
          </w:p>
          <w:p w:rsidR="003F4126" w:rsidRPr="003F4126" w:rsidRDefault="00D756DE" w:rsidP="00D756DE">
            <w:pPr>
              <w:pStyle w:val="scjquote"/>
              <w:numPr>
                <w:ilvl w:val="0"/>
                <w:numId w:val="26"/>
              </w:numPr>
              <w:shd w:val="clear" w:color="auto" w:fill="FFFFFF"/>
              <w:spacing w:before="0" w:beforeAutospacing="0" w:after="120" w:afterAutospacing="0"/>
              <w:ind w:right="720"/>
              <w:jc w:val="both"/>
              <w:rPr>
                <w:rFonts w:ascii="Arial" w:hAnsi="Arial" w:cs="Arial"/>
                <w:color w:val="000000"/>
                <w:sz w:val="22"/>
                <w:szCs w:val="22"/>
              </w:rPr>
            </w:pPr>
            <w:r>
              <w:rPr>
                <w:rFonts w:ascii="Arial" w:hAnsi="Arial" w:cs="Arial"/>
                <w:color w:val="000000"/>
                <w:sz w:val="22"/>
                <w:szCs w:val="22"/>
              </w:rPr>
              <w:t>W</w:t>
            </w:r>
            <w:r w:rsidR="003F4126" w:rsidRPr="003F4126">
              <w:rPr>
                <w:rFonts w:ascii="Arial" w:hAnsi="Arial" w:cs="Arial"/>
                <w:color w:val="000000"/>
                <w:sz w:val="22"/>
                <w:szCs w:val="22"/>
              </w:rPr>
              <w:t>hether the Part 7 adjuster was also adjusting the tort claim: </w:t>
            </w:r>
            <w:r w:rsidR="003F4126" w:rsidRPr="003F4126">
              <w:rPr>
                <w:rFonts w:ascii="Arial" w:hAnsi="Arial" w:cs="Arial"/>
                <w:i/>
                <w:iCs/>
                <w:color w:val="000000"/>
                <w:sz w:val="22"/>
                <w:szCs w:val="22"/>
              </w:rPr>
              <w:t>Robertson v. Grist</w:t>
            </w:r>
            <w:r w:rsidR="003F4126" w:rsidRPr="003F4126">
              <w:rPr>
                <w:rFonts w:ascii="Arial" w:hAnsi="Arial" w:cs="Arial"/>
                <w:color w:val="000000"/>
                <w:sz w:val="22"/>
                <w:szCs w:val="22"/>
              </w:rPr>
              <w:t>, </w:t>
            </w:r>
            <w:hyperlink r:id="rId17" w:history="1">
              <w:r w:rsidR="003F4126" w:rsidRPr="003F4126">
                <w:rPr>
                  <w:rStyle w:val="solext0"/>
                  <w:rFonts w:ascii="Arial" w:hAnsi="Arial" w:cs="Arial"/>
                  <w:color w:val="000000" w:themeColor="text1"/>
                  <w:sz w:val="22"/>
                  <w:szCs w:val="22"/>
                </w:rPr>
                <w:t>2006 BCSC 1245 (CanLII)</w:t>
              </w:r>
            </w:hyperlink>
            <w:r w:rsidR="003F4126" w:rsidRPr="003F4126">
              <w:rPr>
                <w:rFonts w:ascii="Arial" w:hAnsi="Arial" w:cs="Arial"/>
                <w:color w:val="000000" w:themeColor="text1"/>
                <w:sz w:val="22"/>
                <w:szCs w:val="22"/>
              </w:rPr>
              <w:t>;</w:t>
            </w:r>
          </w:p>
          <w:p w:rsidR="003F4126" w:rsidRPr="003F4126" w:rsidRDefault="00D756DE" w:rsidP="00D756DE">
            <w:pPr>
              <w:pStyle w:val="scjquote"/>
              <w:numPr>
                <w:ilvl w:val="0"/>
                <w:numId w:val="26"/>
              </w:numPr>
              <w:shd w:val="clear" w:color="auto" w:fill="FFFFFF"/>
              <w:spacing w:before="0" w:beforeAutospacing="0" w:after="120" w:afterAutospacing="0"/>
              <w:ind w:right="720"/>
              <w:jc w:val="both"/>
              <w:rPr>
                <w:rFonts w:ascii="Arial" w:hAnsi="Arial" w:cs="Arial"/>
                <w:color w:val="000000"/>
                <w:sz w:val="22"/>
                <w:szCs w:val="22"/>
              </w:rPr>
            </w:pPr>
            <w:r>
              <w:rPr>
                <w:rFonts w:ascii="Arial" w:hAnsi="Arial" w:cs="Arial"/>
                <w:color w:val="000000"/>
                <w:sz w:val="22"/>
                <w:szCs w:val="22"/>
              </w:rPr>
              <w:t>Wh</w:t>
            </w:r>
            <w:r w:rsidR="003F4126" w:rsidRPr="003F4126">
              <w:rPr>
                <w:rFonts w:ascii="Arial" w:hAnsi="Arial" w:cs="Arial"/>
                <w:color w:val="000000"/>
                <w:sz w:val="22"/>
                <w:szCs w:val="22"/>
              </w:rPr>
              <w:t>ether there was agreement within ICBC to use the Part 7 report in the tort action: </w:t>
            </w:r>
            <w:r w:rsidR="003F4126" w:rsidRPr="003F4126">
              <w:rPr>
                <w:rFonts w:ascii="Arial" w:hAnsi="Arial" w:cs="Arial"/>
                <w:i/>
                <w:iCs/>
                <w:color w:val="000000"/>
                <w:sz w:val="22"/>
                <w:szCs w:val="22"/>
              </w:rPr>
              <w:t>Robertson v. Grist, supra;</w:t>
            </w:r>
          </w:p>
          <w:p w:rsidR="003F4126" w:rsidRPr="003F4126" w:rsidRDefault="00D756DE" w:rsidP="00D756DE">
            <w:pPr>
              <w:pStyle w:val="scjquote"/>
              <w:numPr>
                <w:ilvl w:val="0"/>
                <w:numId w:val="26"/>
              </w:numPr>
              <w:shd w:val="clear" w:color="auto" w:fill="FFFFFF"/>
              <w:spacing w:before="0" w:beforeAutospacing="0" w:after="120" w:afterAutospacing="0"/>
              <w:ind w:right="720"/>
              <w:jc w:val="both"/>
              <w:rPr>
                <w:rFonts w:ascii="Arial" w:hAnsi="Arial" w:cs="Arial"/>
                <w:color w:val="000000"/>
                <w:sz w:val="22"/>
                <w:szCs w:val="22"/>
              </w:rPr>
            </w:pPr>
            <w:r>
              <w:rPr>
                <w:rFonts w:ascii="Arial" w:hAnsi="Arial" w:cs="Arial"/>
                <w:color w:val="000000"/>
                <w:sz w:val="22"/>
                <w:szCs w:val="22"/>
              </w:rPr>
              <w:t>W</w:t>
            </w:r>
            <w:r w:rsidR="003F4126" w:rsidRPr="003F4126">
              <w:rPr>
                <w:rFonts w:ascii="Arial" w:hAnsi="Arial" w:cs="Arial"/>
                <w:color w:val="000000"/>
                <w:sz w:val="22"/>
                <w:szCs w:val="22"/>
              </w:rPr>
              <w:t>hether the tort action was in contemplation or commenced at the time the Part 7 report was ordered and whether the plaintiff was represented by counsel at that time: </w:t>
            </w:r>
            <w:r w:rsidR="003F4126" w:rsidRPr="003F4126">
              <w:rPr>
                <w:rFonts w:ascii="Arial" w:hAnsi="Arial" w:cs="Arial"/>
                <w:i/>
                <w:iCs/>
                <w:color w:val="000000"/>
                <w:sz w:val="22"/>
                <w:szCs w:val="22"/>
              </w:rPr>
              <w:t>Robertson v. Grist</w:t>
            </w:r>
            <w:r w:rsidR="003F4126" w:rsidRPr="003F4126">
              <w:rPr>
                <w:rFonts w:ascii="Arial" w:hAnsi="Arial" w:cs="Arial"/>
                <w:color w:val="000000"/>
                <w:sz w:val="22"/>
                <w:szCs w:val="22"/>
              </w:rPr>
              <w:t>, </w:t>
            </w:r>
            <w:r w:rsidR="003F4126" w:rsidRPr="003F4126">
              <w:rPr>
                <w:rFonts w:ascii="Arial" w:hAnsi="Arial" w:cs="Arial"/>
                <w:i/>
                <w:iCs/>
                <w:color w:val="000000"/>
                <w:sz w:val="22"/>
                <w:szCs w:val="22"/>
              </w:rPr>
              <w:t>supra;</w:t>
            </w:r>
          </w:p>
          <w:p w:rsidR="003F4126" w:rsidRPr="003F4126" w:rsidRDefault="00D756DE" w:rsidP="00D756DE">
            <w:pPr>
              <w:pStyle w:val="scjquote"/>
              <w:numPr>
                <w:ilvl w:val="0"/>
                <w:numId w:val="26"/>
              </w:numPr>
              <w:shd w:val="clear" w:color="auto" w:fill="FFFFFF"/>
              <w:spacing w:before="0" w:beforeAutospacing="0" w:after="120" w:afterAutospacing="0"/>
              <w:ind w:right="720"/>
              <w:jc w:val="both"/>
              <w:rPr>
                <w:rFonts w:ascii="Arial" w:hAnsi="Arial" w:cs="Arial"/>
                <w:color w:val="000000"/>
                <w:sz w:val="22"/>
                <w:szCs w:val="22"/>
              </w:rPr>
            </w:pPr>
            <w:r>
              <w:rPr>
                <w:rFonts w:ascii="Arial" w:hAnsi="Arial" w:cs="Arial"/>
                <w:color w:val="000000"/>
                <w:sz w:val="22"/>
                <w:szCs w:val="22"/>
              </w:rPr>
              <w:t>W</w:t>
            </w:r>
            <w:r w:rsidR="003F4126" w:rsidRPr="003F4126">
              <w:rPr>
                <w:rFonts w:ascii="Arial" w:hAnsi="Arial" w:cs="Arial"/>
                <w:color w:val="000000"/>
                <w:sz w:val="22"/>
                <w:szCs w:val="22"/>
              </w:rPr>
              <w:t>hat the Part 7 examiner was instructed to address in his/her report: </w:t>
            </w:r>
            <w:r w:rsidR="003F4126" w:rsidRPr="003F4126">
              <w:rPr>
                <w:rFonts w:ascii="Arial" w:hAnsi="Arial" w:cs="Arial"/>
                <w:i/>
                <w:iCs/>
                <w:color w:val="000000"/>
                <w:sz w:val="22"/>
                <w:szCs w:val="22"/>
              </w:rPr>
              <w:t>Longva v. Pham</w:t>
            </w:r>
            <w:r w:rsidR="003F4126" w:rsidRPr="003F4126">
              <w:rPr>
                <w:rFonts w:ascii="Arial" w:hAnsi="Arial" w:cs="Arial"/>
                <w:color w:val="000000"/>
                <w:sz w:val="22"/>
                <w:szCs w:val="22"/>
              </w:rPr>
              <w:t>, [2007[ B.C.J. No. 1035, </w:t>
            </w:r>
            <w:r w:rsidR="003F4126" w:rsidRPr="003F4126">
              <w:rPr>
                <w:rStyle w:val="reflex3-alt"/>
                <w:rFonts w:ascii="Arial" w:hAnsi="Arial" w:cs="Arial"/>
                <w:color w:val="000000"/>
                <w:sz w:val="22"/>
                <w:szCs w:val="22"/>
              </w:rPr>
              <w:t>42 C.P.C. (6</w:t>
            </w:r>
            <w:r w:rsidR="003F4126" w:rsidRPr="003F4126">
              <w:rPr>
                <w:rStyle w:val="reflex3-alt"/>
                <w:rFonts w:ascii="Arial" w:hAnsi="Arial" w:cs="Arial"/>
                <w:color w:val="000000"/>
                <w:sz w:val="22"/>
                <w:szCs w:val="22"/>
                <w:vertAlign w:val="superscript"/>
              </w:rPr>
              <w:t>th</w:t>
            </w:r>
            <w:r w:rsidR="003F4126" w:rsidRPr="003F4126">
              <w:rPr>
                <w:rStyle w:val="reflex3-alt"/>
                <w:rFonts w:ascii="Arial" w:hAnsi="Arial" w:cs="Arial"/>
                <w:color w:val="000000"/>
                <w:sz w:val="22"/>
                <w:szCs w:val="22"/>
              </w:rPr>
              <w:t>) 385</w:t>
            </w:r>
            <w:r w:rsidR="003F4126" w:rsidRPr="003F4126">
              <w:rPr>
                <w:rFonts w:ascii="Arial" w:hAnsi="Arial" w:cs="Arial"/>
                <w:color w:val="000000"/>
                <w:sz w:val="22"/>
                <w:szCs w:val="22"/>
              </w:rPr>
              <w:t>; </w:t>
            </w:r>
            <w:r w:rsidR="003F4126" w:rsidRPr="003F4126">
              <w:rPr>
                <w:rFonts w:ascii="Arial" w:hAnsi="Arial" w:cs="Arial"/>
                <w:i/>
                <w:iCs/>
                <w:color w:val="000000"/>
                <w:sz w:val="22"/>
                <w:szCs w:val="22"/>
              </w:rPr>
              <w:t>Rowe v. Kim</w:t>
            </w:r>
            <w:r w:rsidR="003F4126" w:rsidRPr="003F4126">
              <w:rPr>
                <w:rFonts w:ascii="Arial" w:hAnsi="Arial" w:cs="Arial"/>
                <w:color w:val="000000"/>
                <w:sz w:val="22"/>
                <w:szCs w:val="22"/>
              </w:rPr>
              <w:t>, </w:t>
            </w:r>
            <w:r w:rsidR="003F4126" w:rsidRPr="003F4126">
              <w:rPr>
                <w:rStyle w:val="reflex3-alt"/>
                <w:rFonts w:ascii="Arial" w:hAnsi="Arial" w:cs="Arial"/>
                <w:color w:val="000000"/>
                <w:sz w:val="22"/>
                <w:szCs w:val="22"/>
              </w:rPr>
              <w:t>[2008] B.C.J. No. 2423</w:t>
            </w:r>
            <w:r w:rsidR="003F4126" w:rsidRPr="003F4126">
              <w:rPr>
                <w:rStyle w:val="reflex3-block"/>
                <w:rFonts w:ascii="Arial" w:hAnsi="Arial" w:cs="Arial"/>
                <w:color w:val="000000"/>
                <w:sz w:val="22"/>
                <w:szCs w:val="22"/>
              </w:rPr>
              <w:t>, </w:t>
            </w:r>
            <w:hyperlink r:id="rId18" w:history="1">
              <w:r w:rsidR="003F4126" w:rsidRPr="003F4126">
                <w:rPr>
                  <w:rStyle w:val="reflex3-alt"/>
                  <w:rFonts w:ascii="Arial" w:hAnsi="Arial" w:cs="Arial"/>
                  <w:color w:val="027ABB"/>
                  <w:sz w:val="22"/>
                  <w:szCs w:val="22"/>
                </w:rPr>
                <w:t>2008 BCSC 1710 (CanLII)</w:t>
              </w:r>
            </w:hyperlink>
            <w:r w:rsidR="003F4126" w:rsidRPr="003F4126">
              <w:rPr>
                <w:rFonts w:ascii="Arial" w:hAnsi="Arial" w:cs="Arial"/>
                <w:color w:val="000000"/>
                <w:sz w:val="22"/>
                <w:szCs w:val="22"/>
              </w:rPr>
              <w:t>;</w:t>
            </w:r>
          </w:p>
          <w:p w:rsidR="003F4126" w:rsidRPr="003F4126" w:rsidRDefault="00D756DE" w:rsidP="00D756DE">
            <w:pPr>
              <w:pStyle w:val="scjquote"/>
              <w:numPr>
                <w:ilvl w:val="0"/>
                <w:numId w:val="26"/>
              </w:numPr>
              <w:shd w:val="clear" w:color="auto" w:fill="FFFFFF"/>
              <w:spacing w:before="0" w:beforeAutospacing="0" w:after="120" w:afterAutospacing="0"/>
              <w:ind w:right="720"/>
              <w:jc w:val="both"/>
              <w:rPr>
                <w:rFonts w:ascii="Arial" w:hAnsi="Arial" w:cs="Arial"/>
                <w:color w:val="000000"/>
                <w:sz w:val="22"/>
                <w:szCs w:val="22"/>
              </w:rPr>
            </w:pPr>
            <w:r>
              <w:rPr>
                <w:rFonts w:ascii="Arial" w:hAnsi="Arial" w:cs="Arial"/>
                <w:color w:val="000000"/>
                <w:sz w:val="22"/>
                <w:szCs w:val="22"/>
              </w:rPr>
              <w:t>W</w:t>
            </w:r>
            <w:r w:rsidR="003F4126" w:rsidRPr="003F4126">
              <w:rPr>
                <w:rFonts w:ascii="Arial" w:hAnsi="Arial" w:cs="Arial"/>
                <w:color w:val="000000"/>
                <w:sz w:val="22"/>
                <w:szCs w:val="22"/>
              </w:rPr>
              <w:t>hether the scope of the Part 7 report was limited to a rehabilitation opinion relevant only to Part 7 issues: </w:t>
            </w:r>
            <w:r w:rsidR="003F4126" w:rsidRPr="003F4126">
              <w:rPr>
                <w:rFonts w:ascii="Arial" w:hAnsi="Arial" w:cs="Arial"/>
                <w:i/>
                <w:iCs/>
                <w:color w:val="000000"/>
                <w:sz w:val="22"/>
                <w:szCs w:val="22"/>
              </w:rPr>
              <w:t>Longva v. Pham, supra.</w:t>
            </w:r>
          </w:p>
          <w:p w:rsidR="003F4126" w:rsidRPr="003F4126" w:rsidRDefault="003F4126" w:rsidP="00D756DE">
            <w:pPr>
              <w:pStyle w:val="scjquote"/>
              <w:shd w:val="clear" w:color="auto" w:fill="FFFFFF"/>
              <w:spacing w:before="0" w:beforeAutospacing="0" w:after="360" w:afterAutospacing="0"/>
              <w:ind w:left="1420" w:right="720"/>
              <w:jc w:val="both"/>
              <w:rPr>
                <w:rFonts w:ascii="Arial" w:hAnsi="Arial" w:cs="Arial"/>
                <w:color w:val="000000"/>
                <w:sz w:val="22"/>
                <w:szCs w:val="22"/>
              </w:rPr>
            </w:pPr>
            <w:r w:rsidRPr="003F4126">
              <w:rPr>
                <w:rFonts w:ascii="Arial" w:hAnsi="Arial" w:cs="Arial"/>
                <w:color w:val="000000"/>
                <w:sz w:val="22"/>
                <w:szCs w:val="22"/>
              </w:rPr>
              <w:t>[19]</w:t>
            </w:r>
            <w:r w:rsidRPr="003F4126">
              <w:rPr>
                <w:color w:val="000000"/>
                <w:sz w:val="22"/>
                <w:szCs w:val="22"/>
              </w:rPr>
              <w:t>      </w:t>
            </w:r>
            <w:r w:rsidRPr="003F4126">
              <w:rPr>
                <w:rFonts w:ascii="Arial" w:hAnsi="Arial" w:cs="Arial"/>
                <w:color w:val="000000"/>
                <w:sz w:val="22"/>
                <w:szCs w:val="22"/>
              </w:rPr>
              <w:t>More recently, and in particular since the decisions of Barrow J. in </w:t>
            </w:r>
            <w:r w:rsidRPr="003F4126">
              <w:rPr>
                <w:rFonts w:ascii="Arial" w:hAnsi="Arial" w:cs="Arial"/>
                <w:i/>
                <w:iCs/>
                <w:color w:val="000000"/>
                <w:sz w:val="22"/>
                <w:szCs w:val="22"/>
              </w:rPr>
              <w:t>Teichroab v. Poyner</w:t>
            </w:r>
            <w:r w:rsidRPr="003F4126">
              <w:rPr>
                <w:rFonts w:ascii="Arial" w:hAnsi="Arial" w:cs="Arial"/>
                <w:color w:val="000000"/>
                <w:sz w:val="22"/>
                <w:szCs w:val="22"/>
              </w:rPr>
              <w:t>, </w:t>
            </w:r>
            <w:hyperlink r:id="rId19" w:history="1">
              <w:r w:rsidRPr="003F4126">
                <w:rPr>
                  <w:rStyle w:val="reflex3-alt"/>
                  <w:rFonts w:ascii="Arial" w:hAnsi="Arial" w:cs="Arial"/>
                  <w:color w:val="027ABB"/>
                  <w:sz w:val="22"/>
                  <w:szCs w:val="22"/>
                </w:rPr>
                <w:t>2008 BCSC 1130</w:t>
              </w:r>
              <w:r w:rsidRPr="003F4126">
                <w:rPr>
                  <w:rStyle w:val="Hyperlink"/>
                  <w:rFonts w:ascii="Arial" w:hAnsi="Arial" w:cs="Arial"/>
                  <w:color w:val="027ABB"/>
                  <w:sz w:val="22"/>
                  <w:szCs w:val="22"/>
                </w:rPr>
                <w:t> (CanLII)</w:t>
              </w:r>
            </w:hyperlink>
            <w:r w:rsidRPr="003F4126">
              <w:rPr>
                <w:rStyle w:val="reflex3-block"/>
                <w:rFonts w:ascii="Arial" w:hAnsi="Arial" w:cs="Arial"/>
                <w:color w:val="000000"/>
                <w:sz w:val="22"/>
                <w:szCs w:val="22"/>
              </w:rPr>
              <w:t>, </w:t>
            </w:r>
            <w:r w:rsidRPr="003F4126">
              <w:rPr>
                <w:rStyle w:val="reflex3-alt"/>
                <w:rFonts w:ascii="Arial" w:hAnsi="Arial" w:cs="Arial"/>
                <w:color w:val="000000"/>
                <w:sz w:val="22"/>
                <w:szCs w:val="22"/>
              </w:rPr>
              <w:t>62 C.P.C. (6</w:t>
            </w:r>
            <w:r w:rsidRPr="003F4126">
              <w:rPr>
                <w:rStyle w:val="reflex3-alt"/>
                <w:rFonts w:ascii="Arial" w:hAnsi="Arial" w:cs="Arial"/>
                <w:color w:val="000000"/>
                <w:sz w:val="22"/>
                <w:szCs w:val="22"/>
                <w:vertAlign w:val="superscript"/>
              </w:rPr>
              <w:t>th</w:t>
            </w:r>
            <w:r w:rsidRPr="003F4126">
              <w:rPr>
                <w:rStyle w:val="reflex3-alt"/>
                <w:rFonts w:ascii="Arial" w:hAnsi="Arial" w:cs="Arial"/>
                <w:color w:val="000000"/>
                <w:sz w:val="22"/>
                <w:szCs w:val="22"/>
              </w:rPr>
              <w:t>) 101</w:t>
            </w:r>
            <w:r w:rsidRPr="003F4126">
              <w:rPr>
                <w:rFonts w:ascii="Arial" w:hAnsi="Arial" w:cs="Arial"/>
                <w:color w:val="000000"/>
                <w:sz w:val="22"/>
                <w:szCs w:val="22"/>
              </w:rPr>
              <w:t>,</w:t>
            </w:r>
            <w:r w:rsidRPr="003F4126">
              <w:rPr>
                <w:rFonts w:ascii="Arial" w:hAnsi="Arial" w:cs="Arial"/>
                <w:i/>
                <w:iCs/>
                <w:color w:val="000000"/>
                <w:sz w:val="22"/>
                <w:szCs w:val="22"/>
              </w:rPr>
              <w:t> </w:t>
            </w:r>
            <w:r w:rsidRPr="003F4126">
              <w:rPr>
                <w:rFonts w:ascii="Arial" w:hAnsi="Arial" w:cs="Arial"/>
                <w:color w:val="000000"/>
                <w:sz w:val="22"/>
                <w:szCs w:val="22"/>
              </w:rPr>
              <w:t>and Master McDiarmid in </w:t>
            </w:r>
            <w:r w:rsidRPr="003F4126">
              <w:rPr>
                <w:rFonts w:ascii="Arial" w:hAnsi="Arial" w:cs="Arial"/>
                <w:i/>
                <w:iCs/>
                <w:color w:val="000000"/>
                <w:sz w:val="22"/>
                <w:szCs w:val="22"/>
              </w:rPr>
              <w:t>Soczynski v. Cai</w:t>
            </w:r>
            <w:r w:rsidRPr="003F4126">
              <w:rPr>
                <w:rFonts w:ascii="Arial" w:hAnsi="Arial" w:cs="Arial"/>
                <w:color w:val="000000"/>
                <w:sz w:val="22"/>
                <w:szCs w:val="22"/>
              </w:rPr>
              <w:t>, </w:t>
            </w:r>
            <w:hyperlink r:id="rId20" w:history="1">
              <w:r w:rsidRPr="003F4126">
                <w:rPr>
                  <w:rStyle w:val="reflex3-alt"/>
                  <w:rFonts w:ascii="Arial" w:hAnsi="Arial" w:cs="Arial"/>
                  <w:color w:val="027ABB"/>
                  <w:sz w:val="22"/>
                  <w:szCs w:val="22"/>
                </w:rPr>
                <w:t>2011 BCSC 1299 (CanLII)</w:t>
              </w:r>
            </w:hyperlink>
            <w:r w:rsidRPr="003F4126">
              <w:rPr>
                <w:rFonts w:ascii="Arial" w:hAnsi="Arial" w:cs="Arial"/>
                <w:color w:val="000000"/>
                <w:sz w:val="22"/>
                <w:szCs w:val="22"/>
              </w:rPr>
              <w:t>, the court may be said to have adopted a more holistic view of the circumstances leading up to the application.</w:t>
            </w:r>
          </w:p>
          <w:p w:rsidR="003F4126" w:rsidRPr="003F4126" w:rsidRDefault="003F4126" w:rsidP="003F4126">
            <w:pPr>
              <w:pStyle w:val="scjnumber"/>
              <w:shd w:val="clear" w:color="auto" w:fill="FFFFFF"/>
              <w:spacing w:before="0" w:beforeAutospacing="0" w:after="120" w:afterAutospacing="0"/>
              <w:ind w:left="795"/>
              <w:jc w:val="both"/>
              <w:rPr>
                <w:rFonts w:ascii="Arial" w:hAnsi="Arial" w:cs="Arial"/>
                <w:color w:val="000000"/>
                <w:sz w:val="22"/>
                <w:szCs w:val="22"/>
              </w:rPr>
            </w:pPr>
            <w:r w:rsidRPr="003F4126">
              <w:rPr>
                <w:rFonts w:ascii="Arial" w:hAnsi="Arial" w:cs="Arial"/>
                <w:color w:val="000000"/>
                <w:sz w:val="22"/>
                <w:szCs w:val="22"/>
              </w:rPr>
              <w:t>[</w:t>
            </w:r>
            <w:bookmarkStart w:id="18" w:name="par26"/>
            <w:r w:rsidRPr="003F4126">
              <w:rPr>
                <w:rFonts w:ascii="Arial" w:hAnsi="Arial" w:cs="Arial"/>
                <w:color w:val="027ABB"/>
                <w:sz w:val="22"/>
                <w:szCs w:val="22"/>
              </w:rPr>
              <w:t>26</w:t>
            </w:r>
            <w:bookmarkEnd w:id="18"/>
            <w:r w:rsidRPr="003F4126">
              <w:rPr>
                <w:rFonts w:ascii="Arial" w:hAnsi="Arial" w:cs="Arial"/>
                <w:color w:val="000000"/>
                <w:sz w:val="22"/>
                <w:szCs w:val="22"/>
              </w:rPr>
              <w:t>]</w:t>
            </w:r>
            <w:r w:rsidRPr="003F4126">
              <w:rPr>
                <w:color w:val="000000"/>
                <w:sz w:val="22"/>
                <w:szCs w:val="22"/>
              </w:rPr>
              <w:t>        </w:t>
            </w:r>
            <w:r w:rsidRPr="003F4126">
              <w:rPr>
                <w:rFonts w:ascii="Arial" w:hAnsi="Arial" w:cs="Arial"/>
                <w:color w:val="000000"/>
                <w:sz w:val="22"/>
                <w:szCs w:val="22"/>
              </w:rPr>
              <w:t>In Barrow J.’s decision in </w:t>
            </w:r>
            <w:r w:rsidRPr="003F4126">
              <w:rPr>
                <w:rFonts w:ascii="Arial" w:hAnsi="Arial" w:cs="Arial"/>
                <w:i/>
                <w:iCs/>
                <w:color w:val="000000"/>
                <w:sz w:val="22"/>
                <w:szCs w:val="22"/>
              </w:rPr>
              <w:t>Teichroab v. Poyner</w:t>
            </w:r>
            <w:r w:rsidRPr="003F4126">
              <w:rPr>
                <w:rFonts w:ascii="Arial" w:hAnsi="Arial" w:cs="Arial"/>
                <w:color w:val="000000"/>
                <w:sz w:val="22"/>
                <w:szCs w:val="22"/>
              </w:rPr>
              <w:t>, </w:t>
            </w:r>
            <w:hyperlink r:id="rId21" w:history="1">
              <w:r w:rsidRPr="003F4126">
                <w:rPr>
                  <w:rStyle w:val="reflex3-alt"/>
                  <w:rFonts w:ascii="Arial" w:hAnsi="Arial" w:cs="Arial"/>
                  <w:color w:val="027ABB"/>
                  <w:sz w:val="22"/>
                  <w:szCs w:val="22"/>
                </w:rPr>
                <w:t>2008 BCSC 1130</w:t>
              </w:r>
              <w:r w:rsidRPr="003F4126">
                <w:rPr>
                  <w:rStyle w:val="Hyperlink"/>
                  <w:rFonts w:ascii="Arial" w:hAnsi="Arial" w:cs="Arial"/>
                  <w:color w:val="027ABB"/>
                  <w:sz w:val="22"/>
                  <w:szCs w:val="22"/>
                </w:rPr>
                <w:t> (CanLII)</w:t>
              </w:r>
            </w:hyperlink>
            <w:r w:rsidRPr="003F4126">
              <w:rPr>
                <w:rStyle w:val="reflex3-block"/>
                <w:rFonts w:ascii="Arial" w:hAnsi="Arial" w:cs="Arial"/>
                <w:color w:val="000000"/>
                <w:sz w:val="22"/>
                <w:szCs w:val="22"/>
              </w:rPr>
              <w:t>, </w:t>
            </w:r>
            <w:r w:rsidRPr="003F4126">
              <w:rPr>
                <w:rStyle w:val="reflex3-alt"/>
                <w:rFonts w:ascii="Arial" w:hAnsi="Arial" w:cs="Arial"/>
                <w:color w:val="000000"/>
                <w:sz w:val="22"/>
                <w:szCs w:val="22"/>
              </w:rPr>
              <w:t>62 C.P.C. (6</w:t>
            </w:r>
            <w:r w:rsidRPr="003F4126">
              <w:rPr>
                <w:rStyle w:val="reflex3-alt"/>
                <w:rFonts w:ascii="Arial" w:hAnsi="Arial" w:cs="Arial"/>
                <w:color w:val="000000"/>
                <w:sz w:val="22"/>
                <w:szCs w:val="22"/>
                <w:vertAlign w:val="superscript"/>
              </w:rPr>
              <w:t>th</w:t>
            </w:r>
            <w:r w:rsidRPr="003F4126">
              <w:rPr>
                <w:rStyle w:val="reflex3-alt"/>
                <w:rFonts w:ascii="Arial" w:hAnsi="Arial" w:cs="Arial"/>
                <w:color w:val="000000"/>
                <w:sz w:val="22"/>
                <w:szCs w:val="22"/>
              </w:rPr>
              <w:t>) 101</w:t>
            </w:r>
            <w:r w:rsidRPr="003F4126">
              <w:rPr>
                <w:rFonts w:ascii="Arial" w:hAnsi="Arial" w:cs="Arial"/>
                <w:color w:val="000000"/>
                <w:sz w:val="22"/>
                <w:szCs w:val="22"/>
              </w:rPr>
              <w:t>, which is referenced in </w:t>
            </w:r>
            <w:r w:rsidRPr="003F4126">
              <w:rPr>
                <w:rFonts w:ascii="Arial" w:hAnsi="Arial" w:cs="Arial"/>
                <w:i/>
                <w:iCs/>
                <w:color w:val="000000"/>
                <w:sz w:val="22"/>
                <w:szCs w:val="22"/>
              </w:rPr>
              <w:t>Rathgeber</w:t>
            </w:r>
            <w:r w:rsidRPr="003F4126">
              <w:rPr>
                <w:rFonts w:ascii="Arial" w:hAnsi="Arial" w:cs="Arial"/>
                <w:color w:val="000000"/>
                <w:sz w:val="22"/>
                <w:szCs w:val="22"/>
              </w:rPr>
              <w:t>, Barrow J. stated the following at para. 24:</w:t>
            </w:r>
          </w:p>
          <w:p w:rsidR="003F4126" w:rsidRPr="003F4126" w:rsidRDefault="003F4126" w:rsidP="003F4126">
            <w:pPr>
              <w:pStyle w:val="scjquote"/>
              <w:shd w:val="clear" w:color="auto" w:fill="FFFFFF"/>
              <w:spacing w:before="0" w:beforeAutospacing="0" w:after="360" w:afterAutospacing="0"/>
              <w:ind w:left="1425" w:right="720"/>
              <w:jc w:val="both"/>
              <w:rPr>
                <w:rFonts w:ascii="Arial" w:hAnsi="Arial" w:cs="Arial"/>
                <w:color w:val="000000"/>
                <w:sz w:val="22"/>
                <w:szCs w:val="22"/>
              </w:rPr>
            </w:pPr>
            <w:r w:rsidRPr="003F4126">
              <w:rPr>
                <w:rFonts w:ascii="Arial" w:hAnsi="Arial" w:cs="Arial"/>
                <w:color w:val="000000"/>
                <w:sz w:val="22"/>
                <w:szCs w:val="22"/>
              </w:rPr>
              <w:t>… It may be that this is a distinction which will make little difference to the analysis in most cases because the same factors which are to guide the exercise of the discretion under Rule 30(2) now </w:t>
            </w:r>
            <w:r w:rsidRPr="003F4126">
              <w:rPr>
                <w:rFonts w:ascii="Arial" w:hAnsi="Arial" w:cs="Arial"/>
                <w:i/>
                <w:iCs/>
                <w:color w:val="000000"/>
                <w:sz w:val="22"/>
                <w:szCs w:val="22"/>
              </w:rPr>
              <w:t>Supreme Court Civil Rule </w:t>
            </w:r>
            <w:r w:rsidRPr="003F4126">
              <w:rPr>
                <w:rFonts w:ascii="Arial" w:hAnsi="Arial" w:cs="Arial"/>
                <w:color w:val="000000"/>
                <w:sz w:val="22"/>
                <w:szCs w:val="22"/>
              </w:rPr>
              <w:t>7-6(2) will inform a decision to be made under Rule 30(1), now </w:t>
            </w:r>
            <w:r w:rsidRPr="003F4126">
              <w:rPr>
                <w:rFonts w:ascii="Arial" w:hAnsi="Arial" w:cs="Arial"/>
                <w:i/>
                <w:iCs/>
                <w:color w:val="000000"/>
                <w:sz w:val="22"/>
                <w:szCs w:val="22"/>
              </w:rPr>
              <w:t>Supreme Court Civil Rule </w:t>
            </w:r>
            <w:r w:rsidRPr="003F4126">
              <w:rPr>
                <w:rFonts w:ascii="Arial" w:hAnsi="Arial" w:cs="Arial"/>
                <w:color w:val="000000"/>
                <w:sz w:val="22"/>
                <w:szCs w:val="22"/>
              </w:rPr>
              <w:t>7-6(1) when there has been an earlier assessment. Approaching the matter in this way serves to focus the inquiry on the exercise of the discretion with a view to the purpose of the Rule and obviates the need to guess as to whether, and if so when, a first assessment not ordered under the Rule may have evolved into such an assessment. Generally, the more closely an examination performed under a contractual obligation or for purposes of a claim for Part VII benefits resembles an independent medical examination under Rule 30(1), now </w:t>
            </w:r>
            <w:r w:rsidRPr="003F4126">
              <w:rPr>
                <w:rFonts w:ascii="Arial" w:hAnsi="Arial" w:cs="Arial"/>
                <w:i/>
                <w:iCs/>
                <w:color w:val="000000"/>
                <w:sz w:val="22"/>
                <w:szCs w:val="22"/>
              </w:rPr>
              <w:t>Supreme Court Civil Rule</w:t>
            </w:r>
            <w:r w:rsidRPr="003F4126">
              <w:rPr>
                <w:rFonts w:ascii="Arial" w:hAnsi="Arial" w:cs="Arial"/>
                <w:color w:val="000000"/>
                <w:sz w:val="22"/>
                <w:szCs w:val="22"/>
              </w:rPr>
              <w:t> 7-6(1) the more relevant it will be to the exercise of the discretion conferred by the Rule, and the less likely it may be that an order under that Rule will be made. That is so because the purpose of Rule 30 is, in part, to put the parties on an equal footing in terms of their ability to explore the issues in the case (see </w:t>
            </w:r>
            <w:r w:rsidRPr="003F4126">
              <w:rPr>
                <w:rFonts w:ascii="Arial" w:hAnsi="Arial" w:cs="Arial"/>
                <w:i/>
                <w:iCs/>
                <w:color w:val="000000"/>
                <w:sz w:val="22"/>
                <w:szCs w:val="22"/>
              </w:rPr>
              <w:t>Milburn v. Phillips</w:t>
            </w:r>
            <w:r w:rsidRPr="003F4126">
              <w:rPr>
                <w:rFonts w:ascii="Arial" w:hAnsi="Arial" w:cs="Arial"/>
                <w:color w:val="000000"/>
                <w:sz w:val="22"/>
                <w:szCs w:val="22"/>
              </w:rPr>
              <w:t> </w:t>
            </w:r>
            <w:r w:rsidRPr="003F4126">
              <w:rPr>
                <w:rStyle w:val="reflex3-block"/>
                <w:rFonts w:ascii="Arial" w:hAnsi="Arial" w:cs="Arial"/>
                <w:color w:val="000000"/>
                <w:sz w:val="22"/>
                <w:szCs w:val="22"/>
              </w:rPr>
              <w:t>(1963), </w:t>
            </w:r>
            <w:hyperlink r:id="rId22" w:history="1">
              <w:r w:rsidRPr="003F4126">
                <w:rPr>
                  <w:rStyle w:val="Hyperlink"/>
                  <w:rFonts w:ascii="Arial" w:hAnsi="Arial" w:cs="Arial"/>
                  <w:color w:val="027ABB"/>
                  <w:sz w:val="22"/>
                  <w:szCs w:val="22"/>
                </w:rPr>
                <w:t>1963 CanLII 497 (BC SC)</w:t>
              </w:r>
            </w:hyperlink>
            <w:r w:rsidRPr="003F4126">
              <w:rPr>
                <w:rStyle w:val="reflex3-block"/>
                <w:rFonts w:ascii="Arial" w:hAnsi="Arial" w:cs="Arial"/>
                <w:color w:val="000000"/>
                <w:sz w:val="22"/>
                <w:szCs w:val="22"/>
              </w:rPr>
              <w:t>, </w:t>
            </w:r>
            <w:r w:rsidRPr="003F4126">
              <w:rPr>
                <w:rStyle w:val="reflex3-alt"/>
                <w:rFonts w:ascii="Arial" w:hAnsi="Arial" w:cs="Arial"/>
                <w:color w:val="000000"/>
                <w:sz w:val="22"/>
                <w:szCs w:val="22"/>
              </w:rPr>
              <w:t>44 W.W.R. 637 (B.C.S.C.)</w:t>
            </w:r>
            <w:r w:rsidRPr="003F4126">
              <w:rPr>
                <w:rFonts w:ascii="Arial" w:hAnsi="Arial" w:cs="Arial"/>
                <w:color w:val="000000"/>
                <w:sz w:val="22"/>
                <w:szCs w:val="22"/>
              </w:rPr>
              <w:t>, </w:t>
            </w:r>
            <w:r w:rsidRPr="003F4126">
              <w:rPr>
                <w:rFonts w:ascii="Arial" w:hAnsi="Arial" w:cs="Arial"/>
                <w:i/>
                <w:iCs/>
                <w:color w:val="000000"/>
                <w:sz w:val="22"/>
                <w:szCs w:val="22"/>
              </w:rPr>
              <w:t>Wildemann v. Webster</w:t>
            </w:r>
            <w:r w:rsidRPr="003F4126">
              <w:rPr>
                <w:rFonts w:ascii="Arial" w:hAnsi="Arial" w:cs="Arial"/>
                <w:color w:val="000000"/>
                <w:sz w:val="22"/>
                <w:szCs w:val="22"/>
              </w:rPr>
              <w:t> </w:t>
            </w:r>
            <w:r w:rsidRPr="003F4126">
              <w:rPr>
                <w:rStyle w:val="reflex3-block"/>
                <w:rFonts w:ascii="Arial" w:hAnsi="Arial" w:cs="Arial"/>
                <w:color w:val="000000"/>
                <w:sz w:val="22"/>
                <w:szCs w:val="22"/>
              </w:rPr>
              <w:t>(1990), </w:t>
            </w:r>
            <w:hyperlink r:id="rId23" w:history="1">
              <w:r w:rsidRPr="003F4126">
                <w:rPr>
                  <w:rStyle w:val="Hyperlink"/>
                  <w:rFonts w:ascii="Arial" w:hAnsi="Arial" w:cs="Arial"/>
                  <w:color w:val="027ABB"/>
                  <w:sz w:val="22"/>
                  <w:szCs w:val="22"/>
                </w:rPr>
                <w:t>1990 CanLII 206 (BC CA)</w:t>
              </w:r>
            </w:hyperlink>
            <w:r w:rsidRPr="003F4126">
              <w:rPr>
                <w:rStyle w:val="reflex3-block"/>
                <w:rFonts w:ascii="Arial" w:hAnsi="Arial" w:cs="Arial"/>
                <w:color w:val="000000"/>
                <w:sz w:val="22"/>
                <w:szCs w:val="22"/>
              </w:rPr>
              <w:t>, </w:t>
            </w:r>
            <w:r w:rsidRPr="003F4126">
              <w:rPr>
                <w:rStyle w:val="reflex3-alt"/>
                <w:rFonts w:ascii="Arial" w:hAnsi="Arial" w:cs="Arial"/>
                <w:color w:val="000000"/>
                <w:sz w:val="22"/>
                <w:szCs w:val="22"/>
              </w:rPr>
              <w:t>50 B.C.L.R. (2d) 244 (C.A.)</w:t>
            </w:r>
            <w:r w:rsidRPr="003F4126">
              <w:rPr>
                <w:rFonts w:ascii="Arial" w:hAnsi="Arial" w:cs="Arial"/>
                <w:color w:val="000000"/>
                <w:sz w:val="22"/>
                <w:szCs w:val="22"/>
              </w:rPr>
              <w:t>, and </w:t>
            </w:r>
            <w:r w:rsidRPr="003F4126">
              <w:rPr>
                <w:rFonts w:ascii="Arial" w:hAnsi="Arial" w:cs="Arial"/>
                <w:i/>
                <w:iCs/>
                <w:color w:val="000000"/>
                <w:sz w:val="22"/>
                <w:szCs w:val="22"/>
              </w:rPr>
              <w:t>Guglielmucci v. Makowichuk</w:t>
            </w:r>
            <w:r w:rsidRPr="003F4126">
              <w:rPr>
                <w:rFonts w:ascii="Arial" w:hAnsi="Arial" w:cs="Arial"/>
                <w:color w:val="000000"/>
                <w:sz w:val="22"/>
                <w:szCs w:val="22"/>
              </w:rPr>
              <w:t> </w:t>
            </w:r>
            <w:r w:rsidRPr="003F4126">
              <w:rPr>
                <w:rStyle w:val="reflex3-block"/>
                <w:rFonts w:ascii="Arial" w:hAnsi="Arial" w:cs="Arial"/>
                <w:color w:val="000000"/>
                <w:sz w:val="22"/>
                <w:szCs w:val="22"/>
              </w:rPr>
              <w:t>(1996), </w:t>
            </w:r>
            <w:hyperlink r:id="rId24" w:history="1">
              <w:r w:rsidRPr="003F4126">
                <w:rPr>
                  <w:rStyle w:val="Hyperlink"/>
                  <w:rFonts w:ascii="Arial" w:hAnsi="Arial" w:cs="Arial"/>
                  <w:color w:val="027ABB"/>
                  <w:sz w:val="22"/>
                  <w:szCs w:val="22"/>
                </w:rPr>
                <w:t>1996 CanLII 2127 (BC CA)</w:t>
              </w:r>
            </w:hyperlink>
            <w:r w:rsidRPr="003F4126">
              <w:rPr>
                <w:rStyle w:val="reflex3-block"/>
                <w:rFonts w:ascii="Arial" w:hAnsi="Arial" w:cs="Arial"/>
                <w:color w:val="000000"/>
                <w:sz w:val="22"/>
                <w:szCs w:val="22"/>
              </w:rPr>
              <w:t>, </w:t>
            </w:r>
            <w:r w:rsidRPr="003F4126">
              <w:rPr>
                <w:rStyle w:val="reflex3-alt"/>
                <w:rFonts w:ascii="Arial" w:hAnsi="Arial" w:cs="Arial"/>
                <w:color w:val="000000"/>
                <w:sz w:val="22"/>
                <w:szCs w:val="22"/>
              </w:rPr>
              <w:t>18 B.C.L.R. (3d) 68 (C.A.)</w:t>
            </w:r>
            <w:r w:rsidRPr="003F4126">
              <w:rPr>
                <w:rFonts w:ascii="Arial" w:hAnsi="Arial" w:cs="Arial"/>
                <w:color w:val="000000"/>
                <w:sz w:val="22"/>
                <w:szCs w:val="22"/>
              </w:rPr>
              <w:t>[</w:t>
            </w:r>
            <w:r w:rsidRPr="003F4126">
              <w:rPr>
                <w:rFonts w:ascii="Arial" w:hAnsi="Arial" w:cs="Arial"/>
                <w:i/>
                <w:iCs/>
                <w:color w:val="000000"/>
                <w:sz w:val="22"/>
                <w:szCs w:val="22"/>
              </w:rPr>
              <w:t>Guglielmucci</w:t>
            </w:r>
            <w:r w:rsidRPr="003F4126">
              <w:rPr>
                <w:rFonts w:ascii="Arial" w:hAnsi="Arial" w:cs="Arial"/>
                <w:color w:val="000000"/>
                <w:sz w:val="22"/>
                <w:szCs w:val="22"/>
              </w:rPr>
              <w:t>]). To the extent an assessment prepared under a contract of insurance or in relation to a claim for Part VII benefits puts a defendant on an equal footing, the need for an assessment under Rule 30(1) now </w:t>
            </w:r>
            <w:r w:rsidRPr="003F4126">
              <w:rPr>
                <w:rFonts w:ascii="Arial" w:hAnsi="Arial" w:cs="Arial"/>
                <w:i/>
                <w:iCs/>
                <w:color w:val="000000"/>
                <w:sz w:val="22"/>
                <w:szCs w:val="22"/>
              </w:rPr>
              <w:t>Supreme Court Civil Rule</w:t>
            </w:r>
            <w:r w:rsidRPr="003F4126">
              <w:rPr>
                <w:rFonts w:ascii="Arial" w:hAnsi="Arial" w:cs="Arial"/>
                <w:color w:val="000000"/>
                <w:sz w:val="22"/>
                <w:szCs w:val="22"/>
              </w:rPr>
              <w:t> 7-6(1) will be mitigated.</w:t>
            </w:r>
          </w:p>
          <w:p w:rsidR="003F4126" w:rsidRDefault="003F4126" w:rsidP="003F4126">
            <w:pPr>
              <w:pStyle w:val="scjnumber"/>
              <w:shd w:val="clear" w:color="auto" w:fill="FFFFFF"/>
              <w:spacing w:before="0" w:beforeAutospacing="0" w:after="240" w:afterAutospacing="0"/>
              <w:ind w:left="795"/>
              <w:jc w:val="both"/>
              <w:rPr>
                <w:rFonts w:ascii="Arial" w:hAnsi="Arial" w:cs="Arial"/>
                <w:color w:val="000000"/>
                <w:sz w:val="22"/>
                <w:szCs w:val="22"/>
              </w:rPr>
            </w:pPr>
            <w:r w:rsidRPr="003F4126">
              <w:rPr>
                <w:rFonts w:ascii="Arial" w:hAnsi="Arial" w:cs="Arial"/>
                <w:color w:val="000000"/>
                <w:sz w:val="22"/>
                <w:szCs w:val="22"/>
              </w:rPr>
              <w:t>[</w:t>
            </w:r>
            <w:bookmarkStart w:id="19" w:name="par27"/>
            <w:r w:rsidRPr="003F4126">
              <w:rPr>
                <w:rFonts w:ascii="Arial" w:hAnsi="Arial" w:cs="Arial"/>
                <w:color w:val="027ABB"/>
                <w:sz w:val="22"/>
                <w:szCs w:val="22"/>
              </w:rPr>
              <w:t>27</w:t>
            </w:r>
            <w:bookmarkEnd w:id="19"/>
            <w:r w:rsidRPr="003F4126">
              <w:rPr>
                <w:rFonts w:ascii="Arial" w:hAnsi="Arial" w:cs="Arial"/>
                <w:color w:val="000000"/>
                <w:sz w:val="22"/>
                <w:szCs w:val="22"/>
              </w:rPr>
              <w:t>]</w:t>
            </w:r>
            <w:r w:rsidRPr="003F4126">
              <w:rPr>
                <w:color w:val="000000"/>
                <w:sz w:val="22"/>
                <w:szCs w:val="22"/>
              </w:rPr>
              <w:t>        </w:t>
            </w:r>
            <w:r w:rsidRPr="003F4126">
              <w:rPr>
                <w:rFonts w:ascii="Arial" w:hAnsi="Arial" w:cs="Arial"/>
                <w:color w:val="000000"/>
                <w:sz w:val="22"/>
                <w:szCs w:val="22"/>
              </w:rPr>
              <w:t>I conclude that I must review all of the surrounding circumstances in order to determine whether the Assessment constituted a first independent medical examination of the plaintiff, including the circumstances that gave rise to the Wallace Report and the contents of the report itself.</w:t>
            </w:r>
          </w:p>
          <w:p w:rsidR="003F4126" w:rsidRPr="003F4126" w:rsidRDefault="003F4126" w:rsidP="003F4126">
            <w:pPr>
              <w:pStyle w:val="scjnumber"/>
              <w:shd w:val="clear" w:color="auto" w:fill="FFFFFF"/>
              <w:spacing w:before="0" w:beforeAutospacing="0" w:after="240" w:afterAutospacing="0"/>
              <w:ind w:left="795"/>
              <w:jc w:val="center"/>
              <w:rPr>
                <w:rFonts w:ascii="Arial" w:hAnsi="Arial" w:cs="Arial"/>
                <w:color w:val="000000"/>
                <w:sz w:val="20"/>
                <w:szCs w:val="22"/>
              </w:rPr>
            </w:pPr>
            <w:r w:rsidRPr="003F4126">
              <w:rPr>
                <w:rFonts w:ascii="Arial" w:hAnsi="Arial" w:cs="Arial"/>
                <w:color w:val="000000"/>
                <w:sz w:val="20"/>
                <w:szCs w:val="22"/>
              </w:rPr>
              <w:t>…</w:t>
            </w:r>
          </w:p>
          <w:p w:rsidR="003F4126" w:rsidRPr="003F4126" w:rsidRDefault="003F4126" w:rsidP="003F4126">
            <w:pPr>
              <w:pStyle w:val="scjnumber"/>
              <w:shd w:val="clear" w:color="auto" w:fill="FFFFFF"/>
              <w:spacing w:before="0" w:beforeAutospacing="0" w:after="240" w:afterAutospacing="0"/>
              <w:ind w:left="795"/>
              <w:jc w:val="both"/>
              <w:rPr>
                <w:rFonts w:ascii="Arial" w:hAnsi="Arial" w:cs="Arial"/>
                <w:color w:val="000000"/>
                <w:sz w:val="22"/>
                <w:szCs w:val="27"/>
              </w:rPr>
            </w:pPr>
            <w:r w:rsidRPr="003F4126">
              <w:rPr>
                <w:rFonts w:ascii="Arial" w:hAnsi="Arial" w:cs="Arial"/>
                <w:color w:val="000000"/>
                <w:sz w:val="22"/>
                <w:szCs w:val="27"/>
              </w:rPr>
              <w:t>[</w:t>
            </w:r>
            <w:bookmarkStart w:id="20" w:name="par36"/>
            <w:r w:rsidRPr="003F4126">
              <w:rPr>
                <w:rFonts w:ascii="Arial" w:hAnsi="Arial" w:cs="Arial"/>
                <w:color w:val="027ABB"/>
                <w:sz w:val="22"/>
                <w:szCs w:val="27"/>
              </w:rPr>
              <w:t>36</w:t>
            </w:r>
            <w:bookmarkEnd w:id="20"/>
            <w:r w:rsidRPr="003F4126">
              <w:rPr>
                <w:rFonts w:ascii="Arial" w:hAnsi="Arial" w:cs="Arial"/>
                <w:color w:val="000000"/>
                <w:sz w:val="22"/>
                <w:szCs w:val="27"/>
              </w:rPr>
              <w:t>]</w:t>
            </w:r>
            <w:r w:rsidRPr="003F4126">
              <w:rPr>
                <w:color w:val="000000"/>
                <w:sz w:val="10"/>
                <w:szCs w:val="14"/>
              </w:rPr>
              <w:t>        </w:t>
            </w:r>
            <w:r w:rsidRPr="003F4126">
              <w:rPr>
                <w:rFonts w:ascii="Arial" w:hAnsi="Arial" w:cs="Arial"/>
                <w:color w:val="000000"/>
                <w:sz w:val="22"/>
                <w:szCs w:val="27"/>
              </w:rPr>
              <w:t>I do not find the defendant’s argument that neither the tort adjuster nor defence counsel were involved in instructing Dr. Wallace regarding either his Assessment or his report to be persuasive because although they may not in fact have played an active role, they had the opportunity to do so.</w:t>
            </w:r>
          </w:p>
          <w:p w:rsidR="003F4126" w:rsidRPr="003F4126" w:rsidRDefault="003F4126" w:rsidP="003F4126">
            <w:pPr>
              <w:pStyle w:val="scjnumber"/>
              <w:shd w:val="clear" w:color="auto" w:fill="FFFFFF"/>
              <w:spacing w:before="0" w:beforeAutospacing="0" w:after="240" w:afterAutospacing="0"/>
              <w:ind w:left="795"/>
              <w:jc w:val="center"/>
              <w:rPr>
                <w:rFonts w:ascii="Arial" w:hAnsi="Arial" w:cs="Arial"/>
                <w:color w:val="000000"/>
                <w:sz w:val="22"/>
                <w:szCs w:val="27"/>
              </w:rPr>
            </w:pPr>
            <w:r w:rsidRPr="003F4126">
              <w:rPr>
                <w:rFonts w:ascii="Arial" w:hAnsi="Arial" w:cs="Arial"/>
                <w:color w:val="000000"/>
                <w:sz w:val="22"/>
                <w:szCs w:val="27"/>
              </w:rPr>
              <w:t>…</w:t>
            </w:r>
          </w:p>
          <w:p w:rsidR="003F4126" w:rsidRPr="003F4126" w:rsidRDefault="003F4126" w:rsidP="003F4126">
            <w:pPr>
              <w:pStyle w:val="scjnumber"/>
              <w:shd w:val="clear" w:color="auto" w:fill="FFFFFF"/>
              <w:spacing w:before="0" w:beforeAutospacing="0" w:after="240" w:afterAutospacing="0"/>
              <w:ind w:left="795"/>
              <w:jc w:val="both"/>
              <w:rPr>
                <w:rFonts w:ascii="Arial" w:hAnsi="Arial" w:cs="Arial"/>
                <w:color w:val="000000"/>
                <w:sz w:val="22"/>
                <w:szCs w:val="27"/>
              </w:rPr>
            </w:pPr>
            <w:r w:rsidRPr="003F4126">
              <w:rPr>
                <w:rFonts w:ascii="Arial" w:hAnsi="Arial" w:cs="Arial"/>
                <w:color w:val="000000"/>
                <w:sz w:val="22"/>
                <w:szCs w:val="27"/>
              </w:rPr>
              <w:t>[</w:t>
            </w:r>
            <w:bookmarkStart w:id="21" w:name="par50"/>
            <w:r w:rsidRPr="003F4126">
              <w:rPr>
                <w:rFonts w:ascii="Arial" w:hAnsi="Arial" w:cs="Arial"/>
                <w:color w:val="027ABB"/>
                <w:sz w:val="22"/>
                <w:szCs w:val="27"/>
              </w:rPr>
              <w:t>50</w:t>
            </w:r>
            <w:bookmarkEnd w:id="21"/>
            <w:r w:rsidRPr="003F4126">
              <w:rPr>
                <w:rFonts w:ascii="Arial" w:hAnsi="Arial" w:cs="Arial"/>
                <w:color w:val="000000"/>
                <w:sz w:val="22"/>
                <w:szCs w:val="27"/>
              </w:rPr>
              <w:t>]</w:t>
            </w:r>
            <w:r w:rsidRPr="003F4126">
              <w:rPr>
                <w:color w:val="000000"/>
                <w:sz w:val="10"/>
                <w:szCs w:val="14"/>
              </w:rPr>
              <w:t>        </w:t>
            </w:r>
            <w:r w:rsidRPr="003F4126">
              <w:rPr>
                <w:rFonts w:ascii="Arial" w:hAnsi="Arial" w:cs="Arial"/>
                <w:color w:val="000000"/>
                <w:sz w:val="22"/>
                <w:szCs w:val="27"/>
              </w:rPr>
              <w:t>I find that the Assessment by Dr. Wallace was a first independent medical examination.</w:t>
            </w:r>
          </w:p>
          <w:p w:rsidR="003F4126" w:rsidRPr="003F4126" w:rsidRDefault="003F4126" w:rsidP="003F4126">
            <w:pPr>
              <w:pStyle w:val="scjnumber"/>
              <w:shd w:val="clear" w:color="auto" w:fill="FFFFFF"/>
              <w:spacing w:before="0" w:beforeAutospacing="0" w:after="240" w:afterAutospacing="0"/>
              <w:jc w:val="center"/>
              <w:rPr>
                <w:rFonts w:ascii="Arial" w:hAnsi="Arial" w:cs="Arial"/>
                <w:color w:val="000000"/>
                <w:sz w:val="22"/>
                <w:szCs w:val="27"/>
              </w:rPr>
            </w:pPr>
            <w:r w:rsidRPr="003F4126">
              <w:rPr>
                <w:rFonts w:ascii="Arial" w:hAnsi="Arial" w:cs="Arial"/>
                <w:color w:val="000000"/>
                <w:sz w:val="22"/>
                <w:szCs w:val="27"/>
              </w:rPr>
              <w:t>…</w:t>
            </w:r>
          </w:p>
          <w:p w:rsidR="003F4126" w:rsidRPr="003F4126" w:rsidRDefault="003F4126" w:rsidP="003F4126">
            <w:pPr>
              <w:pStyle w:val="scjnumber"/>
              <w:shd w:val="clear" w:color="auto" w:fill="FFFFFF"/>
              <w:spacing w:before="0" w:beforeAutospacing="0" w:after="240" w:afterAutospacing="0"/>
              <w:ind w:left="795"/>
              <w:jc w:val="both"/>
              <w:rPr>
                <w:rFonts w:ascii="Arial" w:hAnsi="Arial" w:cs="Arial"/>
                <w:color w:val="000000"/>
                <w:sz w:val="22"/>
                <w:szCs w:val="27"/>
              </w:rPr>
            </w:pPr>
            <w:r w:rsidRPr="003F4126">
              <w:rPr>
                <w:rFonts w:ascii="Arial" w:hAnsi="Arial" w:cs="Arial"/>
                <w:color w:val="000000"/>
                <w:sz w:val="22"/>
                <w:szCs w:val="27"/>
              </w:rPr>
              <w:t>[</w:t>
            </w:r>
            <w:bookmarkStart w:id="22" w:name="par54"/>
            <w:r w:rsidRPr="003F4126">
              <w:rPr>
                <w:rFonts w:ascii="Arial" w:hAnsi="Arial" w:cs="Arial"/>
                <w:color w:val="027ABB"/>
                <w:sz w:val="22"/>
                <w:szCs w:val="27"/>
              </w:rPr>
              <w:t>54</w:t>
            </w:r>
            <w:bookmarkEnd w:id="22"/>
            <w:r w:rsidRPr="003F4126">
              <w:rPr>
                <w:rFonts w:ascii="Arial" w:hAnsi="Arial" w:cs="Arial"/>
                <w:color w:val="000000"/>
                <w:sz w:val="22"/>
                <w:szCs w:val="27"/>
              </w:rPr>
              <w:t>]</w:t>
            </w:r>
            <w:r w:rsidRPr="003F4126">
              <w:rPr>
                <w:color w:val="000000"/>
                <w:sz w:val="10"/>
                <w:szCs w:val="14"/>
              </w:rPr>
              <w:t>        </w:t>
            </w:r>
            <w:r w:rsidRPr="003F4126">
              <w:rPr>
                <w:rFonts w:ascii="Arial" w:hAnsi="Arial" w:cs="Arial"/>
                <w:color w:val="000000"/>
                <w:sz w:val="22"/>
                <w:szCs w:val="27"/>
              </w:rPr>
              <w:t>The evidence here does not satisfy me that a further medical examination is required to accomplish the objective of putting the parties on a level playing field because the defendant has not met its onus of establishing that there is a question or matter that could not have been dealt with at the previous examination.</w:t>
            </w:r>
          </w:p>
          <w:p w:rsidR="003F4126" w:rsidRDefault="003F4126" w:rsidP="003F4126">
            <w:pPr>
              <w:pStyle w:val="scjnumber"/>
              <w:shd w:val="clear" w:color="auto" w:fill="FFFFFF"/>
              <w:spacing w:before="0" w:beforeAutospacing="0" w:after="240" w:afterAutospacing="0"/>
              <w:ind w:left="885"/>
              <w:jc w:val="center"/>
              <w:rPr>
                <w:rFonts w:ascii="Arial" w:hAnsi="Arial" w:cs="Arial"/>
                <w:color w:val="000000"/>
                <w:szCs w:val="27"/>
              </w:rPr>
            </w:pPr>
            <w:r>
              <w:rPr>
                <w:rFonts w:ascii="Arial" w:hAnsi="Arial" w:cs="Arial"/>
                <w:color w:val="000000"/>
                <w:szCs w:val="27"/>
              </w:rPr>
              <w:t>…</w:t>
            </w:r>
          </w:p>
          <w:p w:rsidR="003F4126" w:rsidRPr="003F4126" w:rsidRDefault="003F4126" w:rsidP="003F4126">
            <w:pPr>
              <w:pStyle w:val="scjnumber"/>
              <w:shd w:val="clear" w:color="auto" w:fill="FFFFFF"/>
              <w:spacing w:before="0" w:beforeAutospacing="0" w:after="120" w:afterAutospacing="0"/>
              <w:ind w:left="795"/>
              <w:rPr>
                <w:rFonts w:ascii="Arial" w:hAnsi="Arial" w:cs="Arial"/>
                <w:color w:val="000000"/>
                <w:sz w:val="22"/>
                <w:szCs w:val="27"/>
              </w:rPr>
            </w:pPr>
            <w:r w:rsidRPr="003F4126">
              <w:rPr>
                <w:rFonts w:ascii="Arial" w:hAnsi="Arial" w:cs="Arial"/>
                <w:color w:val="000000"/>
                <w:sz w:val="22"/>
                <w:szCs w:val="27"/>
              </w:rPr>
              <w:t>[</w:t>
            </w:r>
            <w:bookmarkStart w:id="23" w:name="par58"/>
            <w:r w:rsidRPr="003F4126">
              <w:rPr>
                <w:rFonts w:ascii="Arial" w:hAnsi="Arial" w:cs="Arial"/>
                <w:color w:val="027ABB"/>
                <w:sz w:val="22"/>
                <w:szCs w:val="27"/>
              </w:rPr>
              <w:t>58</w:t>
            </w:r>
            <w:bookmarkEnd w:id="23"/>
            <w:r w:rsidRPr="003F4126">
              <w:rPr>
                <w:rFonts w:ascii="Arial" w:hAnsi="Arial" w:cs="Arial"/>
                <w:color w:val="000000"/>
                <w:sz w:val="22"/>
                <w:szCs w:val="27"/>
              </w:rPr>
              <w:t>]</w:t>
            </w:r>
            <w:r w:rsidRPr="003F4126">
              <w:rPr>
                <w:color w:val="000000"/>
                <w:sz w:val="10"/>
                <w:szCs w:val="14"/>
              </w:rPr>
              <w:t>        </w:t>
            </w:r>
            <w:r w:rsidRPr="003F4126">
              <w:rPr>
                <w:rFonts w:ascii="Arial" w:hAnsi="Arial" w:cs="Arial"/>
                <w:color w:val="000000"/>
                <w:sz w:val="22"/>
                <w:szCs w:val="27"/>
              </w:rPr>
              <w:t>I consider the conclusion in </w:t>
            </w:r>
            <w:r w:rsidRPr="003F4126">
              <w:rPr>
                <w:rFonts w:ascii="Arial" w:hAnsi="Arial" w:cs="Arial"/>
                <w:i/>
                <w:iCs/>
                <w:color w:val="000000"/>
                <w:sz w:val="22"/>
                <w:szCs w:val="27"/>
              </w:rPr>
              <w:t>Rathgeber v. Freeman</w:t>
            </w:r>
            <w:r w:rsidRPr="003F4126">
              <w:rPr>
                <w:rFonts w:ascii="Arial" w:hAnsi="Arial" w:cs="Arial"/>
                <w:color w:val="000000"/>
                <w:sz w:val="22"/>
                <w:szCs w:val="27"/>
              </w:rPr>
              <w:t> to be applicable here. After finding that the Part 7 report resembled a report in a tort claim in that case, Master Keighley went on to state in para. 26:</w:t>
            </w:r>
          </w:p>
          <w:p w:rsidR="003F4126" w:rsidRPr="00BF2E21" w:rsidRDefault="003F4126" w:rsidP="00BF2E21">
            <w:pPr>
              <w:pStyle w:val="scjquote"/>
              <w:shd w:val="clear" w:color="auto" w:fill="FFFFFF"/>
              <w:spacing w:before="0" w:beforeAutospacing="0" w:after="360" w:afterAutospacing="0"/>
              <w:ind w:left="1515" w:right="720"/>
              <w:jc w:val="both"/>
              <w:rPr>
                <w:rFonts w:ascii="Arial" w:hAnsi="Arial" w:cs="Arial"/>
                <w:color w:val="000000"/>
                <w:sz w:val="22"/>
                <w:szCs w:val="22"/>
              </w:rPr>
            </w:pPr>
            <w:r>
              <w:rPr>
                <w:rFonts w:ascii="Arial" w:hAnsi="Arial" w:cs="Arial"/>
                <w:color w:val="000000"/>
                <w:sz w:val="22"/>
                <w:szCs w:val="22"/>
              </w:rPr>
              <w:t>There is, however, nothing in the evidence before me to show why a further </w:t>
            </w:r>
            <w:r>
              <w:rPr>
                <w:rFonts w:ascii="Arial" w:hAnsi="Arial" w:cs="Arial"/>
                <w:i/>
                <w:iCs/>
                <w:color w:val="000000"/>
                <w:sz w:val="22"/>
                <w:szCs w:val="22"/>
              </w:rPr>
              <w:t>examination</w:t>
            </w:r>
            <w:r>
              <w:rPr>
                <w:rFonts w:ascii="Arial" w:hAnsi="Arial" w:cs="Arial"/>
                <w:color w:val="000000"/>
                <w:sz w:val="22"/>
                <w:szCs w:val="22"/>
              </w:rPr>
              <w:t>, rather than a review of the available materials by Dr. Kousaie or some other qualified specialist is necessary to achieve reasonable equality with respect to medical evidence.</w:t>
            </w:r>
          </w:p>
          <w:p w:rsidR="009F6E5C" w:rsidRPr="007D6573" w:rsidRDefault="007D6573" w:rsidP="007D6573">
            <w:pPr>
              <w:pStyle w:val="Default"/>
              <w:numPr>
                <w:ilvl w:val="1"/>
                <w:numId w:val="1"/>
              </w:numPr>
              <w:spacing w:after="240"/>
              <w:ind w:left="806" w:hanging="806"/>
              <w:jc w:val="both"/>
              <w:rPr>
                <w:rFonts w:ascii="Arial" w:hAnsi="Arial" w:cs="Arial"/>
                <w:b/>
              </w:rPr>
            </w:pPr>
            <w:r w:rsidRPr="007D6573">
              <w:rPr>
                <w:rFonts w:ascii="Arial" w:hAnsi="Arial" w:cs="Arial"/>
                <w:b/>
              </w:rPr>
              <w:t xml:space="preserve">NEW </w:t>
            </w:r>
            <w:r w:rsidR="009F6E5C" w:rsidRPr="007D6573">
              <w:rPr>
                <w:rFonts w:ascii="Arial" w:hAnsi="Arial" w:cs="Arial"/>
                <w:b/>
              </w:rPr>
              <w:t>EXPERT EVIDENCE LIMITATIONS</w:t>
            </w:r>
          </w:p>
          <w:p w:rsidR="005B6253" w:rsidRDefault="005B6253" w:rsidP="005B6253">
            <w:pPr>
              <w:pStyle w:val="SCJNumber0"/>
              <w:numPr>
                <w:ilvl w:val="0"/>
                <w:numId w:val="18"/>
              </w:numPr>
              <w:jc w:val="both"/>
              <w:rPr>
                <w:lang w:val="en-CA"/>
              </w:rPr>
            </w:pPr>
            <w:r>
              <w:rPr>
                <w:lang w:val="en-CA"/>
              </w:rPr>
              <w:t xml:space="preserve">By Orders in Counsel made February 11, 2019 and March 22, 2019, the Province amended Rule 11-8(11) of the BC Supreme Court </w:t>
            </w:r>
            <w:r>
              <w:rPr>
                <w:i/>
                <w:lang w:val="en-CA"/>
              </w:rPr>
              <w:t xml:space="preserve">Rules, </w:t>
            </w:r>
            <w:r>
              <w:rPr>
                <w:lang w:val="en-CA"/>
              </w:rPr>
              <w:t xml:space="preserve">without due notice, accompanied by a press release from Attorney General David </w:t>
            </w:r>
            <w:proofErr w:type="spellStart"/>
            <w:r>
              <w:rPr>
                <w:lang w:val="en-CA"/>
              </w:rPr>
              <w:t>Eby</w:t>
            </w:r>
            <w:proofErr w:type="spellEnd"/>
            <w:r>
              <w:rPr>
                <w:lang w:val="en-CA"/>
              </w:rPr>
              <w:t xml:space="preserve"> confirming that</w:t>
            </w:r>
            <w:r w:rsidRPr="005B6253">
              <w:rPr>
                <w:lang w:val="en-CA"/>
              </w:rPr>
              <w:t xml:space="preserve"> “The rules committee did not recommend these changes and was not asked to approve these changes. These changes were a decision </w:t>
            </w:r>
            <w:r>
              <w:rPr>
                <w:lang w:val="en-CA"/>
              </w:rPr>
              <w:t xml:space="preserve">[unilaterally] </w:t>
            </w:r>
            <w:r w:rsidRPr="005B6253">
              <w:rPr>
                <w:lang w:val="en-CA"/>
              </w:rPr>
              <w:t xml:space="preserve">made by government.” </w:t>
            </w:r>
          </w:p>
          <w:p w:rsidR="005B6253" w:rsidRDefault="005B6253" w:rsidP="005B6253">
            <w:pPr>
              <w:pStyle w:val="SCJNumber0"/>
              <w:numPr>
                <w:ilvl w:val="0"/>
                <w:numId w:val="18"/>
              </w:numPr>
              <w:jc w:val="both"/>
              <w:rPr>
                <w:lang w:val="en-CA"/>
              </w:rPr>
            </w:pPr>
            <w:r>
              <w:rPr>
                <w:lang w:val="en-CA"/>
              </w:rPr>
              <w:t>The effect of the rule change was to limit the number of damages experts in motor vehicle injury actions to a maximum of three.</w:t>
            </w:r>
            <w:bookmarkStart w:id="24" w:name="d1e14258"/>
            <w:bookmarkStart w:id="25" w:name="rule11t8subrule4"/>
            <w:bookmarkStart w:id="26" w:name="rule11t8subrule8"/>
            <w:bookmarkStart w:id="27" w:name="d1e14427"/>
            <w:bookmarkStart w:id="28" w:name="d1e14464"/>
            <w:bookmarkStart w:id="29" w:name="d1e14546"/>
            <w:bookmarkStart w:id="30" w:name="d1e14528"/>
            <w:bookmarkEnd w:id="24"/>
            <w:bookmarkEnd w:id="25"/>
            <w:bookmarkEnd w:id="26"/>
            <w:bookmarkEnd w:id="27"/>
            <w:bookmarkEnd w:id="28"/>
            <w:bookmarkEnd w:id="29"/>
            <w:bookmarkEnd w:id="30"/>
          </w:p>
          <w:p w:rsidR="0015793F" w:rsidRPr="0015793F" w:rsidRDefault="005B6253" w:rsidP="005B6253">
            <w:pPr>
              <w:pStyle w:val="SCJNumber0"/>
              <w:numPr>
                <w:ilvl w:val="0"/>
                <w:numId w:val="18"/>
              </w:numPr>
              <w:jc w:val="both"/>
              <w:rPr>
                <w:lang w:val="en-CA"/>
              </w:rPr>
            </w:pPr>
            <w:r w:rsidRPr="005B6253">
              <w:rPr>
                <w:lang w:val="en-CA"/>
              </w:rPr>
              <w:t xml:space="preserve">The TLABC brought a petition seeking to have the amended Rule quashed in </w:t>
            </w:r>
            <w:hyperlink r:id="rId25" w:history="1">
              <w:r w:rsidR="007D6573" w:rsidRPr="005B6253">
                <w:rPr>
                  <w:rStyle w:val="Hyperlink"/>
                </w:rPr>
                <w:t>Crowder v. British Columbia, 2019 BCSC 1824</w:t>
              </w:r>
            </w:hyperlink>
            <w:r w:rsidR="0015793F">
              <w:t>.  The TLABC argued three points:</w:t>
            </w:r>
          </w:p>
          <w:p w:rsidR="0015793F" w:rsidRDefault="0015793F" w:rsidP="0015793F">
            <w:pPr>
              <w:pStyle w:val="SCJNumber0"/>
              <w:ind w:left="1080" w:hanging="360"/>
              <w:rPr>
                <w:lang w:val="en-CA"/>
              </w:rPr>
            </w:pPr>
            <w:r>
              <w:rPr>
                <w:lang w:val="en-CA"/>
              </w:rPr>
              <w:t>a)</w:t>
            </w:r>
            <w:r>
              <w:rPr>
                <w:rFonts w:ascii="Times New Roman" w:hAnsi="Times New Roman" w:cs="Times New Roman"/>
                <w:sz w:val="14"/>
                <w:szCs w:val="14"/>
                <w:lang w:val="en-CA"/>
              </w:rPr>
              <w:t xml:space="preserve">    </w:t>
            </w:r>
            <w:r>
              <w:rPr>
                <w:lang w:val="en-CA"/>
              </w:rPr>
              <w:t xml:space="preserve">the Rule 11-8 Orders were contrary to a convention that requires such changes to be proposed or approved by the Committee; </w:t>
            </w:r>
          </w:p>
          <w:p w:rsidR="0015793F" w:rsidRDefault="0015793F" w:rsidP="0015793F">
            <w:pPr>
              <w:pStyle w:val="SCJNumber0"/>
              <w:ind w:left="1080" w:hanging="360"/>
              <w:rPr>
                <w:lang w:val="en-CA"/>
              </w:rPr>
            </w:pPr>
            <w:r>
              <w:rPr>
                <w:lang w:val="en-CA"/>
              </w:rPr>
              <w:t>b)</w:t>
            </w:r>
            <w:r>
              <w:rPr>
                <w:rFonts w:ascii="Times New Roman" w:hAnsi="Times New Roman" w:cs="Times New Roman"/>
                <w:sz w:val="14"/>
                <w:szCs w:val="14"/>
                <w:lang w:val="en-CA"/>
              </w:rPr>
              <w:t xml:space="preserve">    </w:t>
            </w:r>
            <w:r>
              <w:rPr>
                <w:lang w:val="en-CA"/>
              </w:rPr>
              <w:t xml:space="preserve">the Rule 11-8 Orders were not authorized by the </w:t>
            </w:r>
            <w:r>
              <w:rPr>
                <w:i/>
                <w:iCs/>
                <w:lang w:val="en-CA"/>
              </w:rPr>
              <w:t>Act</w:t>
            </w:r>
            <w:r>
              <w:rPr>
                <w:lang w:val="en-CA"/>
              </w:rPr>
              <w:t>; and</w:t>
            </w:r>
          </w:p>
          <w:p w:rsidR="0015793F" w:rsidRDefault="0015793F" w:rsidP="0015793F">
            <w:pPr>
              <w:pStyle w:val="SCJNumber0"/>
              <w:ind w:left="1080" w:hanging="360"/>
              <w:rPr>
                <w:lang w:val="en-CA"/>
              </w:rPr>
            </w:pPr>
            <w:r>
              <w:rPr>
                <w:lang w:val="en-CA"/>
              </w:rPr>
              <w:t>c)</w:t>
            </w:r>
            <w:r>
              <w:rPr>
                <w:rFonts w:ascii="Times New Roman" w:hAnsi="Times New Roman" w:cs="Times New Roman"/>
                <w:sz w:val="14"/>
                <w:szCs w:val="14"/>
                <w:lang w:val="en-CA"/>
              </w:rPr>
              <w:t xml:space="preserve">     </w:t>
            </w:r>
            <w:r>
              <w:rPr>
                <w:lang w:val="en-CA"/>
              </w:rPr>
              <w:t xml:space="preserve">the Rules 11-8 Orders were unconstitutional in that they contravene s. 96 of the </w:t>
            </w:r>
            <w:r>
              <w:rPr>
                <w:i/>
                <w:iCs/>
                <w:lang w:val="en-CA"/>
              </w:rPr>
              <w:t>Constitution Act, 1867</w:t>
            </w:r>
            <w:r>
              <w:rPr>
                <w:lang w:val="en-CA"/>
              </w:rPr>
              <w:t xml:space="preserve"> by inhibiting the power of the Supreme Court of British Columbia to control its process and by denying access to the court to litigants. </w:t>
            </w:r>
          </w:p>
          <w:p w:rsidR="007D6573" w:rsidRPr="0015793F" w:rsidRDefault="0015793F" w:rsidP="005B6253">
            <w:pPr>
              <w:pStyle w:val="SCJNumber0"/>
              <w:numPr>
                <w:ilvl w:val="0"/>
                <w:numId w:val="18"/>
              </w:numPr>
              <w:jc w:val="both"/>
              <w:rPr>
                <w:lang w:val="en-CA"/>
              </w:rPr>
            </w:pPr>
            <w:r>
              <w:rPr>
                <w:i/>
              </w:rPr>
              <w:t>Crowder</w:t>
            </w:r>
            <w:r w:rsidR="005B6253">
              <w:t xml:space="preserve"> was heard and decided by Chief Justice Hinkson.</w:t>
            </w:r>
            <w:r w:rsidR="008B73FE">
              <w:t xml:space="preserve">  He found for the petitioner</w:t>
            </w:r>
            <w:r>
              <w:t xml:space="preserve">: </w:t>
            </w:r>
          </w:p>
          <w:p w:rsidR="0015793F" w:rsidRDefault="0015793F" w:rsidP="00AC2608">
            <w:pPr>
              <w:pStyle w:val="SCJNumber0"/>
              <w:spacing w:line="240" w:lineRule="auto"/>
              <w:ind w:left="1060" w:right="520"/>
              <w:jc w:val="both"/>
              <w:rPr>
                <w:lang w:val="en-CA"/>
              </w:rPr>
            </w:pPr>
            <w:r>
              <w:rPr>
                <w:rStyle w:val="ssbf"/>
                <w:lang w:val="en-CA"/>
              </w:rPr>
              <w:t>[120]</w:t>
            </w:r>
            <w:r>
              <w:rPr>
                <w:rStyle w:val="ssbf"/>
                <w:rFonts w:ascii="Times New Roman" w:hAnsi="Times New Roman" w:cs="Times New Roman"/>
                <w:sz w:val="14"/>
                <w:szCs w:val="14"/>
                <w:lang w:val="en-CA"/>
              </w:rPr>
              <w:t xml:space="preserve">     </w:t>
            </w:r>
            <w:r>
              <w:rPr>
                <w:lang w:val="en-CA"/>
              </w:rPr>
              <w:t xml:space="preserve">I find that the effect of the impugned Rule is to change the substantive law of evidence that has guided this Court from its inception, and I find that this is not one of the exceptional cases referred to by Justice Lambert where the </w:t>
            </w:r>
            <w:r>
              <w:rPr>
                <w:i/>
                <w:iCs/>
                <w:lang w:val="en-CA"/>
              </w:rPr>
              <w:t xml:space="preserve">Rules </w:t>
            </w:r>
            <w:r>
              <w:rPr>
                <w:lang w:val="en-CA"/>
              </w:rPr>
              <w:t>may create new substantive law</w:t>
            </w:r>
            <w:r>
              <w:rPr>
                <w:i/>
                <w:iCs/>
                <w:lang w:val="en-CA"/>
              </w:rPr>
              <w:t xml:space="preserve">. </w:t>
            </w:r>
            <w:r>
              <w:rPr>
                <w:lang w:val="en-CA"/>
              </w:rPr>
              <w:t xml:space="preserve">Accordingly, I find that the Rule 11-8 Orders (and with it, the impugned Rule) are not authorized by the </w:t>
            </w:r>
            <w:r>
              <w:rPr>
                <w:i/>
                <w:iCs/>
                <w:lang w:val="en-CA"/>
              </w:rPr>
              <w:t>Act</w:t>
            </w:r>
            <w:r>
              <w:rPr>
                <w:lang w:val="en-CA"/>
              </w:rPr>
              <w:t>.</w:t>
            </w:r>
          </w:p>
          <w:p w:rsidR="0015793F" w:rsidRDefault="0015793F" w:rsidP="00AC2608">
            <w:pPr>
              <w:pStyle w:val="SCJNumber0"/>
              <w:spacing w:after="120" w:line="240" w:lineRule="auto"/>
              <w:ind w:left="1060" w:right="520"/>
              <w:jc w:val="both"/>
              <w:rPr>
                <w:rStyle w:val="ssbf"/>
                <w:shd w:val="clear" w:color="auto" w:fill="FFFFFF"/>
                <w:lang w:val="en-CA"/>
              </w:rPr>
            </w:pPr>
            <w:r>
              <w:rPr>
                <w:rStyle w:val="ssbf"/>
                <w:lang w:val="en-CA"/>
              </w:rPr>
              <w:t>[121]</w:t>
            </w:r>
            <w:r>
              <w:rPr>
                <w:rStyle w:val="ssbf"/>
                <w:rFonts w:ascii="Times New Roman" w:hAnsi="Times New Roman" w:cs="Times New Roman"/>
                <w:sz w:val="14"/>
                <w:szCs w:val="14"/>
                <w:lang w:val="en-CA"/>
              </w:rPr>
              <w:t xml:space="preserve">     </w:t>
            </w:r>
            <w:r>
              <w:rPr>
                <w:rStyle w:val="ssbf"/>
                <w:shd w:val="clear" w:color="auto" w:fill="FFFFFF"/>
                <w:lang w:val="en-CA"/>
              </w:rPr>
              <w:t xml:space="preserve">However, as changes to the substantive law could be made under primary legislation such as the </w:t>
            </w:r>
            <w:r>
              <w:rPr>
                <w:rStyle w:val="ssbf"/>
                <w:i/>
                <w:iCs/>
                <w:shd w:val="clear" w:color="auto" w:fill="FFFFFF"/>
                <w:lang w:val="en-CA"/>
              </w:rPr>
              <w:t>Evidence Act</w:t>
            </w:r>
            <w:r>
              <w:rPr>
                <w:rStyle w:val="ssbf"/>
                <w:shd w:val="clear" w:color="auto" w:fill="FFFFFF"/>
                <w:lang w:val="en-CA"/>
              </w:rPr>
              <w:t xml:space="preserve">, I will now consider the third ground advanced by the petitioners. </w:t>
            </w:r>
          </w:p>
          <w:p w:rsidR="0015793F" w:rsidRDefault="0015793F" w:rsidP="00AC2608">
            <w:pPr>
              <w:pStyle w:val="SCJNumber0"/>
              <w:spacing w:after="120" w:line="240" w:lineRule="auto"/>
              <w:ind w:left="1060" w:right="520"/>
              <w:jc w:val="center"/>
              <w:rPr>
                <w:rStyle w:val="ssbf"/>
                <w:shd w:val="clear" w:color="auto" w:fill="FFFFFF"/>
                <w:lang w:val="en-CA"/>
              </w:rPr>
            </w:pPr>
            <w:r>
              <w:rPr>
                <w:rStyle w:val="ssbf"/>
                <w:shd w:val="clear" w:color="auto" w:fill="FFFFFF"/>
                <w:lang w:val="en-CA"/>
              </w:rPr>
              <w:t>…</w:t>
            </w:r>
          </w:p>
          <w:p w:rsidR="0015793F" w:rsidRDefault="0015793F" w:rsidP="00AC2608">
            <w:pPr>
              <w:pStyle w:val="SCJNumber0"/>
              <w:spacing w:before="240" w:after="120" w:line="240" w:lineRule="auto"/>
              <w:ind w:left="1060" w:right="520"/>
              <w:jc w:val="both"/>
              <w:rPr>
                <w:lang w:val="en-CA"/>
              </w:rPr>
            </w:pPr>
            <w:r>
              <w:rPr>
                <w:lang w:val="en-CA"/>
              </w:rPr>
              <w:t>[124]</w:t>
            </w:r>
            <w:r>
              <w:rPr>
                <w:rFonts w:ascii="Times New Roman" w:hAnsi="Times New Roman" w:cs="Times New Roman"/>
                <w:sz w:val="14"/>
                <w:szCs w:val="14"/>
                <w:lang w:val="en-CA"/>
              </w:rPr>
              <w:t xml:space="preserve">     </w:t>
            </w:r>
            <w:r>
              <w:rPr>
                <w:lang w:val="en-CA"/>
              </w:rPr>
              <w:t xml:space="preserve">The petitioners argue that the impugned Rule unconstitutionally infringes the superior court’s core jurisdiction because it is a mandatory rule, eliminating judicial discretion, which impacts the court’s process in a way that rises to the level of an impairment. </w:t>
            </w:r>
          </w:p>
          <w:p w:rsidR="0015793F" w:rsidRDefault="0015793F" w:rsidP="00AC2608">
            <w:pPr>
              <w:pStyle w:val="SCJNumber0"/>
              <w:spacing w:after="120" w:line="240" w:lineRule="auto"/>
              <w:ind w:left="1060" w:right="520"/>
              <w:jc w:val="both"/>
              <w:rPr>
                <w:lang w:val="en-CA"/>
              </w:rPr>
            </w:pPr>
            <w:r>
              <w:rPr>
                <w:lang w:val="en-CA"/>
              </w:rPr>
              <w:t>[125]</w:t>
            </w:r>
            <w:r>
              <w:rPr>
                <w:rFonts w:ascii="Times New Roman" w:hAnsi="Times New Roman" w:cs="Times New Roman"/>
                <w:sz w:val="14"/>
                <w:szCs w:val="14"/>
                <w:lang w:val="en-CA"/>
              </w:rPr>
              <w:t xml:space="preserve">     </w:t>
            </w:r>
            <w:r>
              <w:rPr>
                <w:lang w:val="en-CA"/>
              </w:rPr>
              <w:t xml:space="preserve">The petitioners contend that the impugned Rule strikes at the integrity of the adjudicative process, while depriving the court of the power to control and protect that process, by: </w:t>
            </w:r>
          </w:p>
          <w:p w:rsidR="0015793F" w:rsidRDefault="0015793F" w:rsidP="00AC2608">
            <w:pPr>
              <w:pStyle w:val="SCJNumber0"/>
              <w:spacing w:after="120" w:line="240" w:lineRule="auto"/>
              <w:ind w:left="1780" w:right="520" w:hanging="360"/>
              <w:jc w:val="both"/>
              <w:rPr>
                <w:lang w:val="en-CA"/>
              </w:rPr>
            </w:pPr>
            <w:r>
              <w:rPr>
                <w:lang w:val="en-CA"/>
              </w:rPr>
              <w:t>a)</w:t>
            </w:r>
            <w:r>
              <w:rPr>
                <w:rFonts w:ascii="Times New Roman" w:hAnsi="Times New Roman" w:cs="Times New Roman"/>
                <w:sz w:val="14"/>
                <w:szCs w:val="14"/>
                <w:lang w:val="en-CA"/>
              </w:rPr>
              <w:t xml:space="preserve">    </w:t>
            </w:r>
            <w:r>
              <w:rPr>
                <w:lang w:val="en-CA"/>
              </w:rPr>
              <w:t>impairing a party’s right to be heard and to prove its case through otherwise admissible evidence;</w:t>
            </w:r>
          </w:p>
          <w:p w:rsidR="0015793F" w:rsidRDefault="0015793F" w:rsidP="00AC2608">
            <w:pPr>
              <w:pStyle w:val="SCJNumber0"/>
              <w:spacing w:after="120" w:line="240" w:lineRule="auto"/>
              <w:ind w:left="1780" w:right="520" w:hanging="360"/>
              <w:jc w:val="both"/>
              <w:rPr>
                <w:lang w:val="en-CA"/>
              </w:rPr>
            </w:pPr>
            <w:r>
              <w:rPr>
                <w:lang w:val="en-CA"/>
              </w:rPr>
              <w:t>b)</w:t>
            </w:r>
            <w:r>
              <w:rPr>
                <w:rFonts w:ascii="Times New Roman" w:hAnsi="Times New Roman" w:cs="Times New Roman"/>
                <w:sz w:val="14"/>
                <w:szCs w:val="14"/>
                <w:lang w:val="en-CA"/>
              </w:rPr>
              <w:t xml:space="preserve">    </w:t>
            </w:r>
            <w:r>
              <w:rPr>
                <w:lang w:val="en-CA"/>
              </w:rPr>
              <w:t xml:space="preserve">specially benefitting defendants, in that the plaintiff bears the burden of proof of facts involving significant medical and economic complexity; </w:t>
            </w:r>
          </w:p>
          <w:p w:rsidR="0015793F" w:rsidRDefault="0015793F" w:rsidP="00AC2608">
            <w:pPr>
              <w:pStyle w:val="SCJNumber0"/>
              <w:spacing w:after="120" w:line="240" w:lineRule="auto"/>
              <w:ind w:left="1780" w:right="520" w:hanging="360"/>
              <w:jc w:val="both"/>
              <w:rPr>
                <w:lang w:val="en-CA"/>
              </w:rPr>
            </w:pPr>
            <w:r>
              <w:rPr>
                <w:lang w:val="en-CA"/>
              </w:rPr>
              <w:t>c)</w:t>
            </w:r>
            <w:r>
              <w:rPr>
                <w:rFonts w:ascii="Times New Roman" w:hAnsi="Times New Roman" w:cs="Times New Roman"/>
                <w:sz w:val="14"/>
                <w:szCs w:val="14"/>
                <w:lang w:val="en-CA"/>
              </w:rPr>
              <w:t xml:space="preserve">     </w:t>
            </w:r>
            <w:r>
              <w:rPr>
                <w:lang w:val="en-CA"/>
              </w:rPr>
              <w:t xml:space="preserve">limiting plaintiffs’ litigation privilege in respect of proof of damages; </w:t>
            </w:r>
          </w:p>
          <w:p w:rsidR="0015793F" w:rsidRDefault="0015793F" w:rsidP="00AC2608">
            <w:pPr>
              <w:pStyle w:val="SCJNumber0"/>
              <w:spacing w:after="120" w:line="240" w:lineRule="auto"/>
              <w:ind w:left="1780" w:right="520" w:hanging="360"/>
              <w:jc w:val="both"/>
              <w:rPr>
                <w:lang w:val="en-CA"/>
              </w:rPr>
            </w:pPr>
            <w:r>
              <w:rPr>
                <w:lang w:val="en-CA"/>
              </w:rPr>
              <w:t>d)</w:t>
            </w:r>
            <w:r>
              <w:rPr>
                <w:rFonts w:ascii="Times New Roman" w:hAnsi="Times New Roman" w:cs="Times New Roman"/>
                <w:sz w:val="14"/>
                <w:szCs w:val="14"/>
                <w:lang w:val="en-CA"/>
              </w:rPr>
              <w:t xml:space="preserve">    </w:t>
            </w:r>
            <w:r>
              <w:rPr>
                <w:lang w:val="en-CA"/>
              </w:rPr>
              <w:t>compromising the adversarial system of civil litigation by requiring routine resort to court-appointed experts in personal injury cases; and,</w:t>
            </w:r>
          </w:p>
          <w:p w:rsidR="0015793F" w:rsidRDefault="0015793F" w:rsidP="00AC2608">
            <w:pPr>
              <w:pStyle w:val="SCJNumber0"/>
              <w:spacing w:after="120" w:line="240" w:lineRule="auto"/>
              <w:ind w:left="1780" w:right="520" w:hanging="360"/>
              <w:jc w:val="both"/>
              <w:rPr>
                <w:lang w:val="en-CA"/>
              </w:rPr>
            </w:pPr>
            <w:r>
              <w:rPr>
                <w:lang w:val="en-CA"/>
              </w:rPr>
              <w:t>e)</w:t>
            </w:r>
            <w:r>
              <w:rPr>
                <w:rFonts w:ascii="Times New Roman" w:hAnsi="Times New Roman" w:cs="Times New Roman"/>
                <w:sz w:val="14"/>
                <w:szCs w:val="14"/>
                <w:lang w:val="en-CA"/>
              </w:rPr>
              <w:t xml:space="preserve">    </w:t>
            </w:r>
            <w:r>
              <w:rPr>
                <w:lang w:val="en-CA"/>
              </w:rPr>
              <w:t>purporting to eliminate judicial discretion to the contrary.</w:t>
            </w:r>
          </w:p>
          <w:p w:rsidR="0015793F" w:rsidRDefault="0015793F" w:rsidP="00AC2608">
            <w:pPr>
              <w:pStyle w:val="SCJNumber0"/>
              <w:spacing w:after="120" w:line="240" w:lineRule="auto"/>
              <w:ind w:left="1060" w:right="520"/>
              <w:jc w:val="center"/>
              <w:rPr>
                <w:lang w:val="en-CA"/>
              </w:rPr>
            </w:pPr>
            <w:r>
              <w:rPr>
                <w:lang w:val="en-CA"/>
              </w:rPr>
              <w:t>…</w:t>
            </w:r>
          </w:p>
          <w:p w:rsidR="0015793F" w:rsidRDefault="0015793F" w:rsidP="00AC2608">
            <w:pPr>
              <w:pStyle w:val="SCJNumber0"/>
              <w:spacing w:line="240" w:lineRule="auto"/>
              <w:ind w:left="1060" w:right="610"/>
              <w:jc w:val="both"/>
              <w:rPr>
                <w:lang w:val="en-CA"/>
              </w:rPr>
            </w:pPr>
            <w:r>
              <w:rPr>
                <w:lang w:val="en-CA"/>
              </w:rPr>
              <w:t>[185]</w:t>
            </w:r>
            <w:r>
              <w:rPr>
                <w:rFonts w:ascii="Times New Roman" w:hAnsi="Times New Roman" w:cs="Times New Roman"/>
                <w:sz w:val="14"/>
                <w:szCs w:val="14"/>
                <w:lang w:val="en-CA"/>
              </w:rPr>
              <w:t xml:space="preserve">     </w:t>
            </w:r>
            <w:r>
              <w:rPr>
                <w:lang w:val="en-CA"/>
              </w:rPr>
              <w:t>Considering the totality of the submissions and the evidence before me, I find that the impugned Rule compromises and dilutes the role of the court, and encroaches upon a core area of the court’s jurisdiction to control its process.</w:t>
            </w:r>
          </w:p>
          <w:p w:rsidR="00BF4625" w:rsidRDefault="00BF4625" w:rsidP="00AC2608">
            <w:pPr>
              <w:pStyle w:val="SCJNumber0"/>
              <w:spacing w:line="240" w:lineRule="auto"/>
              <w:ind w:left="1060" w:right="610"/>
              <w:jc w:val="center"/>
              <w:rPr>
                <w:lang w:val="en-CA"/>
              </w:rPr>
            </w:pPr>
            <w:r>
              <w:rPr>
                <w:lang w:val="en-CA"/>
              </w:rPr>
              <w:t>…</w:t>
            </w:r>
          </w:p>
          <w:p w:rsidR="00BF4625" w:rsidRDefault="00BF4625" w:rsidP="00AC2608">
            <w:pPr>
              <w:pStyle w:val="SCJNumber0"/>
              <w:spacing w:line="240" w:lineRule="auto"/>
              <w:ind w:left="1060" w:right="610"/>
              <w:jc w:val="both"/>
              <w:rPr>
                <w:lang w:val="en-CA"/>
              </w:rPr>
            </w:pPr>
            <w:r>
              <w:rPr>
                <w:lang w:val="en-CA"/>
              </w:rPr>
              <w:t>[196]</w:t>
            </w:r>
            <w:r>
              <w:rPr>
                <w:rFonts w:ascii="Times New Roman" w:hAnsi="Times New Roman" w:cs="Times New Roman"/>
                <w:sz w:val="14"/>
                <w:szCs w:val="14"/>
                <w:lang w:val="en-CA"/>
              </w:rPr>
              <w:t xml:space="preserve">     </w:t>
            </w:r>
            <w:r>
              <w:rPr>
                <w:lang w:val="en-CA"/>
              </w:rPr>
              <w:t>I find that the impugned Rule infringes on the court’s core jurisdiction to control its process, because it restricts a core function of the court to decide a case fairly upon the evidence adduced by the parties. The effect of the impugned Rule is to require the court to play an investigatory function in place of its traditional non-adversarial role, contrary to the principle of party presentation.</w:t>
            </w:r>
          </w:p>
          <w:p w:rsidR="0015793F" w:rsidRPr="005B6253" w:rsidRDefault="00BF4625" w:rsidP="00BF4625">
            <w:pPr>
              <w:pStyle w:val="SCJNumber0"/>
              <w:numPr>
                <w:ilvl w:val="0"/>
                <w:numId w:val="18"/>
              </w:numPr>
              <w:rPr>
                <w:lang w:val="en-CA"/>
              </w:rPr>
            </w:pPr>
            <w:r>
              <w:rPr>
                <w:lang w:val="en-CA"/>
              </w:rPr>
              <w:t xml:space="preserve">AG </w:t>
            </w:r>
            <w:proofErr w:type="spellStart"/>
            <w:r>
              <w:rPr>
                <w:lang w:val="en-CA"/>
              </w:rPr>
              <w:t>Eby’s</w:t>
            </w:r>
            <w:proofErr w:type="spellEnd"/>
            <w:r>
              <w:rPr>
                <w:lang w:val="en-CA"/>
              </w:rPr>
              <w:t xml:space="preserve"> response to his loss in </w:t>
            </w:r>
            <w:r>
              <w:rPr>
                <w:i/>
                <w:lang w:val="en-CA"/>
              </w:rPr>
              <w:t>Crowder</w:t>
            </w:r>
            <w:r>
              <w:rPr>
                <w:lang w:val="en-CA"/>
              </w:rPr>
              <w:t xml:space="preserve">?   </w:t>
            </w:r>
            <w:hyperlink r:id="rId26" w:history="1">
              <w:r>
                <w:rPr>
                  <w:rStyle w:val="Hyperlink"/>
                </w:rPr>
                <w:t>https://www.cbc.ca/news/canada/british-columbia/b-c-s-attorney-general-raising-the-spectre-of-no-fault-auto-insurance-legal-opponents-say-1.5350958</w:t>
              </w:r>
            </w:hyperlink>
            <w:r>
              <w:t xml:space="preserve"> </w:t>
            </w:r>
          </w:p>
          <w:p w:rsidR="005B6253" w:rsidRDefault="008B73FE" w:rsidP="008B73FE">
            <w:pPr>
              <w:pStyle w:val="SCJNumber0"/>
              <w:numPr>
                <w:ilvl w:val="0"/>
                <w:numId w:val="18"/>
              </w:numPr>
              <w:spacing w:line="240" w:lineRule="auto"/>
              <w:jc w:val="both"/>
              <w:rPr>
                <w:rStyle w:val="Hyperlink"/>
                <w:color w:val="auto"/>
                <w:u w:val="none"/>
                <w:lang w:val="en-CA"/>
              </w:rPr>
            </w:pPr>
            <w:proofErr w:type="spellStart"/>
            <w:r>
              <w:rPr>
                <w:rStyle w:val="Hyperlink"/>
                <w:color w:val="auto"/>
                <w:u w:val="none"/>
                <w:lang w:val="en-CA"/>
              </w:rPr>
              <w:t>Eby</w:t>
            </w:r>
            <w:proofErr w:type="spellEnd"/>
            <w:r w:rsidR="00BF4625">
              <w:rPr>
                <w:rStyle w:val="Hyperlink"/>
                <w:color w:val="auto"/>
                <w:u w:val="none"/>
                <w:lang w:val="en-CA"/>
              </w:rPr>
              <w:t xml:space="preserve"> </w:t>
            </w:r>
            <w:r>
              <w:rPr>
                <w:rStyle w:val="Hyperlink"/>
                <w:color w:val="auto"/>
                <w:u w:val="none"/>
                <w:lang w:val="en-CA"/>
              </w:rPr>
              <w:t>then decided</w:t>
            </w:r>
            <w:r w:rsidR="00BF4625">
              <w:rPr>
                <w:rStyle w:val="Hyperlink"/>
                <w:color w:val="auto"/>
                <w:u w:val="none"/>
                <w:lang w:val="en-CA"/>
              </w:rPr>
              <w:t xml:space="preserve"> to </w:t>
            </w:r>
            <w:r>
              <w:rPr>
                <w:rStyle w:val="Hyperlink"/>
                <w:color w:val="auto"/>
                <w:u w:val="none"/>
                <w:lang w:val="en-CA"/>
              </w:rPr>
              <w:t>re-</w:t>
            </w:r>
            <w:r w:rsidR="00BF4625">
              <w:rPr>
                <w:rStyle w:val="Hyperlink"/>
                <w:color w:val="auto"/>
                <w:u w:val="none"/>
                <w:lang w:val="en-CA"/>
              </w:rPr>
              <w:t xml:space="preserve">approach the three-expert-limit cap through an amendment of BC’s </w:t>
            </w:r>
            <w:r w:rsidR="00BF4625">
              <w:rPr>
                <w:rStyle w:val="Hyperlink"/>
                <w:i/>
                <w:color w:val="auto"/>
                <w:u w:val="none"/>
                <w:lang w:val="en-CA"/>
              </w:rPr>
              <w:t>Evidence Act</w:t>
            </w:r>
            <w:r w:rsidR="00BF4625">
              <w:rPr>
                <w:rStyle w:val="Hyperlink"/>
                <w:color w:val="auto"/>
                <w:u w:val="none"/>
                <w:lang w:val="en-CA"/>
              </w:rPr>
              <w:t>, but not only is there a three-expert limit, but the government restricts the amount recoverable from the unsuccessful part for the cost of each expert report ($3,000) and the total amount recoverable is limited to 5% of the settlement or judgment amount!</w:t>
            </w:r>
          </w:p>
          <w:p w:rsidR="00BF4625" w:rsidRDefault="00BF4625" w:rsidP="008B73FE">
            <w:pPr>
              <w:pStyle w:val="SCJNumber0"/>
              <w:numPr>
                <w:ilvl w:val="0"/>
                <w:numId w:val="18"/>
              </w:numPr>
              <w:spacing w:line="240" w:lineRule="auto"/>
              <w:rPr>
                <w:rStyle w:val="Hyperlink"/>
                <w:color w:val="auto"/>
                <w:u w:val="none"/>
                <w:lang w:val="en-CA"/>
              </w:rPr>
            </w:pPr>
            <w:r w:rsidRPr="00BF4625">
              <w:rPr>
                <w:rStyle w:val="Hyperlink"/>
                <w:color w:val="auto"/>
                <w:u w:val="none"/>
                <w:lang w:val="en-CA"/>
              </w:rPr>
              <w:t xml:space="preserve">The CBABC’s position? </w:t>
            </w:r>
            <w:hyperlink r:id="rId27" w:history="1">
              <w:r w:rsidRPr="00BF4625">
                <w:rPr>
                  <w:rStyle w:val="Hyperlink"/>
                  <w:lang w:val="en-CA"/>
                </w:rPr>
                <w:t>https://www.cbabc.org/News-Media/Media-Releases/2020/CBABC-opposes-changes-evidence-act</w:t>
              </w:r>
            </w:hyperlink>
            <w:r w:rsidRPr="00BF4625">
              <w:rPr>
                <w:rStyle w:val="Hyperlink"/>
                <w:color w:val="auto"/>
                <w:u w:val="none"/>
                <w:lang w:val="en-CA"/>
              </w:rPr>
              <w:t xml:space="preserve"> </w:t>
            </w:r>
          </w:p>
          <w:p w:rsidR="00BF4625" w:rsidRPr="00BF4625" w:rsidRDefault="00BF4625" w:rsidP="00BF4625">
            <w:pPr>
              <w:spacing w:after="150"/>
              <w:ind w:left="1060" w:right="610"/>
              <w:jc w:val="both"/>
              <w:rPr>
                <w:rFonts w:ascii="Arial" w:eastAsia="Times New Roman" w:hAnsi="Arial" w:cs="Arial"/>
                <w:color w:val="000000"/>
                <w:sz w:val="22"/>
                <w:szCs w:val="15"/>
                <w:lang w:val="en"/>
              </w:rPr>
            </w:pPr>
            <w:r w:rsidRPr="00BF4625">
              <w:rPr>
                <w:rFonts w:ascii="Arial" w:eastAsia="Times New Roman" w:hAnsi="Arial" w:cs="Arial"/>
                <w:color w:val="000000"/>
                <w:sz w:val="22"/>
                <w:szCs w:val="15"/>
                <w:lang w:val="en"/>
              </w:rPr>
              <w:t>“Expert fees for reports often exceed $3,000 and the cost of gathering evidence to present to court, including expert reports, is usually more than 5% — even in the most straight-forward of claims,” said Ken Armstrong, CBABC President. “Limiting the recovery of these expenses means only people with financial means will be able to present their case fully to a judge. These proposed changes disproportionately limit access to justice for our most marginalized residents.”</w:t>
            </w:r>
          </w:p>
          <w:p w:rsidR="00BF4625" w:rsidRPr="008B73FE" w:rsidRDefault="00BF4625" w:rsidP="008B73FE">
            <w:pPr>
              <w:ind w:left="1060" w:right="610"/>
              <w:jc w:val="both"/>
              <w:rPr>
                <w:rFonts w:ascii="Arial" w:eastAsia="Times New Roman" w:hAnsi="Arial" w:cs="Arial"/>
                <w:color w:val="000000"/>
                <w:sz w:val="22"/>
                <w:szCs w:val="15"/>
                <w:lang w:val="en"/>
              </w:rPr>
            </w:pPr>
            <w:r w:rsidRPr="00BF4625">
              <w:rPr>
                <w:rFonts w:ascii="Arial" w:eastAsia="Times New Roman" w:hAnsi="Arial" w:cs="Arial"/>
                <w:color w:val="000000"/>
                <w:sz w:val="22"/>
                <w:szCs w:val="15"/>
                <w:lang w:val="en"/>
              </w:rPr>
              <w:t>Armstrong continued, “In an effort to resolve ICBC’s financial problems, the BC government is shifting the financial burden to BC residents and creating an access to justice issue for injured people who cannot afford to present their case with these restrictions in place.”</w:t>
            </w:r>
          </w:p>
          <w:p w:rsidR="008B73FE" w:rsidRPr="008B73FE" w:rsidRDefault="008B73FE" w:rsidP="008B73FE">
            <w:pPr>
              <w:ind w:left="1060" w:right="610"/>
              <w:jc w:val="both"/>
              <w:rPr>
                <w:rStyle w:val="Hyperlink"/>
                <w:rFonts w:ascii="Open Sans" w:eastAsia="Times New Roman" w:hAnsi="Open Sans" w:cs="Arial"/>
                <w:color w:val="000000"/>
                <w:sz w:val="21"/>
                <w:szCs w:val="15"/>
                <w:u w:val="none"/>
                <w:lang w:val="en"/>
              </w:rPr>
            </w:pPr>
          </w:p>
          <w:p w:rsidR="008B73FE" w:rsidRDefault="00BF4625" w:rsidP="008B73FE">
            <w:pPr>
              <w:pStyle w:val="SCJNumber0"/>
              <w:spacing w:line="240" w:lineRule="auto"/>
              <w:ind w:left="720"/>
              <w:rPr>
                <w:rStyle w:val="Hyperlink"/>
                <w:color w:val="auto"/>
                <w:u w:val="none"/>
                <w:lang w:val="en-CA"/>
              </w:rPr>
            </w:pPr>
            <w:r w:rsidRPr="006A609D">
              <w:rPr>
                <w:rStyle w:val="Hyperlink"/>
                <w:b/>
                <w:i/>
                <w:color w:val="auto"/>
                <w:u w:val="none"/>
                <w:lang w:val="en-CA"/>
              </w:rPr>
              <w:t>Food for thought</w:t>
            </w:r>
            <w:r w:rsidR="008B73FE">
              <w:rPr>
                <w:rStyle w:val="Hyperlink"/>
                <w:color w:val="auto"/>
                <w:u w:val="none"/>
                <w:lang w:val="en-CA"/>
              </w:rPr>
              <w:t xml:space="preserve">: As the Attorney </w:t>
            </w:r>
            <w:r>
              <w:rPr>
                <w:rStyle w:val="Hyperlink"/>
                <w:color w:val="auto"/>
                <w:u w:val="none"/>
                <w:lang w:val="en-CA"/>
              </w:rPr>
              <w:t xml:space="preserve">General of the Province of British Columbia, is David </w:t>
            </w:r>
            <w:proofErr w:type="spellStart"/>
            <w:r>
              <w:rPr>
                <w:rStyle w:val="Hyperlink"/>
                <w:color w:val="auto"/>
                <w:u w:val="none"/>
                <w:lang w:val="en-CA"/>
              </w:rPr>
              <w:t>Eby</w:t>
            </w:r>
            <w:proofErr w:type="spellEnd"/>
            <w:r>
              <w:rPr>
                <w:rStyle w:val="Hyperlink"/>
                <w:color w:val="auto"/>
                <w:u w:val="none"/>
                <w:lang w:val="en-CA"/>
              </w:rPr>
              <w:t xml:space="preserve"> in a conflict of interest in prioritizing the interests of ICBC – one litigant – above the interests of all litigants in British Columbia?  </w:t>
            </w:r>
          </w:p>
          <w:p w:rsidR="00BF4625" w:rsidRDefault="006A609D" w:rsidP="008B73FE">
            <w:pPr>
              <w:pStyle w:val="SCJNumber0"/>
              <w:spacing w:line="240" w:lineRule="auto"/>
              <w:ind w:left="720"/>
              <w:rPr>
                <w:rStyle w:val="Hyperlink"/>
                <w:color w:val="auto"/>
                <w:u w:val="none"/>
                <w:lang w:val="en-CA"/>
              </w:rPr>
            </w:pPr>
            <w:r>
              <w:rPr>
                <w:rStyle w:val="Hyperlink"/>
                <w:color w:val="auto"/>
                <w:u w:val="none"/>
                <w:lang w:val="en-CA"/>
              </w:rPr>
              <w:t>Should the</w:t>
            </w:r>
            <w:r w:rsidR="00BF4625">
              <w:rPr>
                <w:rStyle w:val="Hyperlink"/>
                <w:color w:val="auto"/>
                <w:u w:val="none"/>
                <w:lang w:val="en-CA"/>
              </w:rPr>
              <w:t xml:space="preserve"> </w:t>
            </w:r>
            <w:r>
              <w:rPr>
                <w:rStyle w:val="Hyperlink"/>
                <w:color w:val="auto"/>
                <w:u w:val="none"/>
                <w:lang w:val="en-CA"/>
              </w:rPr>
              <w:t xml:space="preserve">Legislature’s </w:t>
            </w:r>
            <w:r w:rsidR="00BF4625">
              <w:rPr>
                <w:rStyle w:val="Hyperlink"/>
                <w:color w:val="auto"/>
                <w:u w:val="none"/>
                <w:lang w:val="en-CA"/>
              </w:rPr>
              <w:t xml:space="preserve">Conflicts Commissioner </w:t>
            </w:r>
            <w:r>
              <w:rPr>
                <w:rStyle w:val="Hyperlink"/>
                <w:color w:val="auto"/>
                <w:u w:val="none"/>
                <w:lang w:val="en-CA"/>
              </w:rPr>
              <w:t>be making an inquiry</w:t>
            </w:r>
            <w:r w:rsidR="00BF4625">
              <w:rPr>
                <w:rStyle w:val="Hyperlink"/>
                <w:color w:val="auto"/>
                <w:u w:val="none"/>
                <w:lang w:val="en-CA"/>
              </w:rPr>
              <w:t xml:space="preserve">? </w:t>
            </w:r>
          </w:p>
          <w:p w:rsidR="00BF4625" w:rsidRDefault="00BF4625" w:rsidP="00BF4625">
            <w:pPr>
              <w:pStyle w:val="Heading3"/>
              <w:shd w:val="clear" w:color="auto" w:fill="FFFFFF"/>
              <w:spacing w:before="360" w:after="225" w:line="375" w:lineRule="atLeast"/>
              <w:ind w:left="1060" w:right="610"/>
              <w:jc w:val="both"/>
              <w:rPr>
                <w:rFonts w:ascii="Arial" w:eastAsia="Times New Roman" w:hAnsi="Arial" w:cs="Arial"/>
                <w:caps/>
                <w:color w:val="24292E"/>
                <w:sz w:val="27"/>
                <w:szCs w:val="27"/>
              </w:rPr>
            </w:pPr>
            <w:r>
              <w:rPr>
                <w:rStyle w:val="ez-toc-section"/>
                <w:rFonts w:ascii="Arial" w:hAnsi="Arial" w:cs="Arial"/>
                <w:caps/>
                <w:color w:val="24292E"/>
              </w:rPr>
              <w:t>COMMISSIONER’S ROLE</w:t>
            </w:r>
          </w:p>
          <w:p w:rsidR="00BF4625" w:rsidRDefault="00BF4625" w:rsidP="00BF4625">
            <w:pPr>
              <w:pStyle w:val="NormalWeb"/>
              <w:shd w:val="clear" w:color="auto" w:fill="FFFFFF"/>
              <w:spacing w:before="0" w:beforeAutospacing="0" w:after="360" w:afterAutospacing="0"/>
              <w:ind w:left="1060" w:right="610"/>
              <w:jc w:val="both"/>
              <w:rPr>
                <w:rFonts w:ascii="Arial" w:hAnsi="Arial" w:cs="Arial"/>
                <w:color w:val="4F4F4F"/>
              </w:rPr>
            </w:pPr>
            <w:r>
              <w:rPr>
                <w:rFonts w:ascii="Arial" w:hAnsi="Arial" w:cs="Arial"/>
                <w:color w:val="4F4F4F"/>
              </w:rPr>
              <w:t>The Conflict of Interest Commissioner is an independent, non-partisan Officer of the Legislative Assembly who is responsible for impartially administering the </w:t>
            </w:r>
            <w:r>
              <w:rPr>
                <w:rStyle w:val="Emphasis"/>
                <w:rFonts w:ascii="Arial" w:hAnsi="Arial" w:cs="Arial"/>
                <w:color w:val="4F4F4F"/>
              </w:rPr>
              <w:t>Act.</w:t>
            </w:r>
          </w:p>
          <w:p w:rsidR="00BF4625" w:rsidRDefault="00BF4625" w:rsidP="00BF4625">
            <w:pPr>
              <w:pStyle w:val="NormalWeb"/>
              <w:shd w:val="clear" w:color="auto" w:fill="FFFFFF"/>
              <w:spacing w:before="0" w:beforeAutospacing="0" w:after="360" w:afterAutospacing="0"/>
              <w:ind w:left="1060" w:right="610"/>
              <w:jc w:val="both"/>
              <w:rPr>
                <w:rFonts w:ascii="Arial" w:hAnsi="Arial" w:cs="Arial"/>
                <w:color w:val="4F4F4F"/>
              </w:rPr>
            </w:pPr>
            <w:r>
              <w:rPr>
                <w:rFonts w:ascii="Arial" w:hAnsi="Arial" w:cs="Arial"/>
                <w:color w:val="4F4F4F"/>
              </w:rPr>
              <w:t>The Commissioner has three primary roles:</w:t>
            </w:r>
          </w:p>
          <w:p w:rsidR="00BF4625" w:rsidRDefault="00BF4625" w:rsidP="00BF4625">
            <w:pPr>
              <w:numPr>
                <w:ilvl w:val="0"/>
                <w:numId w:val="28"/>
              </w:numPr>
              <w:shd w:val="clear" w:color="auto" w:fill="FFFFFF"/>
              <w:spacing w:before="100" w:beforeAutospacing="1" w:after="120"/>
              <w:ind w:left="1512" w:right="605"/>
              <w:jc w:val="both"/>
              <w:rPr>
                <w:rFonts w:ascii="Arial" w:hAnsi="Arial" w:cs="Arial"/>
                <w:color w:val="4F4F4F"/>
              </w:rPr>
            </w:pPr>
            <w:r>
              <w:rPr>
                <w:rFonts w:ascii="Arial" w:hAnsi="Arial" w:cs="Arial"/>
                <w:color w:val="4F4F4F"/>
              </w:rPr>
              <w:t>To provide confidential </w:t>
            </w:r>
            <w:hyperlink r:id="rId28" w:tgtFrame="_blank" w:history="1">
              <w:r>
                <w:rPr>
                  <w:rStyle w:val="Strong"/>
                  <w:rFonts w:ascii="Arial" w:hAnsi="Arial" w:cs="Arial"/>
                  <w:color w:val="3D79B8"/>
                </w:rPr>
                <w:t>advice</w:t>
              </w:r>
            </w:hyperlink>
            <w:r>
              <w:rPr>
                <w:rFonts w:ascii="Arial" w:hAnsi="Arial" w:cs="Arial"/>
                <w:color w:val="4F4F4F"/>
              </w:rPr>
              <w:t> to Members about their obligations under the </w:t>
            </w:r>
            <w:r>
              <w:rPr>
                <w:rStyle w:val="Emphasis"/>
                <w:rFonts w:ascii="Arial" w:hAnsi="Arial" w:cs="Arial"/>
                <w:color w:val="4F4F4F"/>
              </w:rPr>
              <w:t>Act;</w:t>
            </w:r>
          </w:p>
          <w:p w:rsidR="00BF4625" w:rsidRDefault="00BF4625" w:rsidP="00BF4625">
            <w:pPr>
              <w:numPr>
                <w:ilvl w:val="0"/>
                <w:numId w:val="28"/>
              </w:numPr>
              <w:shd w:val="clear" w:color="auto" w:fill="FFFFFF"/>
              <w:spacing w:before="100" w:beforeAutospacing="1" w:after="120"/>
              <w:ind w:left="1512" w:right="605"/>
              <w:jc w:val="both"/>
              <w:rPr>
                <w:rFonts w:ascii="Arial" w:hAnsi="Arial" w:cs="Arial"/>
                <w:color w:val="4F4F4F"/>
              </w:rPr>
            </w:pPr>
            <w:r>
              <w:rPr>
                <w:rFonts w:ascii="Arial" w:hAnsi="Arial" w:cs="Arial"/>
                <w:color w:val="4F4F4F"/>
              </w:rPr>
              <w:t>To oversee the </w:t>
            </w:r>
            <w:hyperlink r:id="rId29" w:tgtFrame="_blank" w:history="1">
              <w:r>
                <w:rPr>
                  <w:rStyle w:val="Strong"/>
                  <w:rFonts w:ascii="Arial" w:hAnsi="Arial" w:cs="Arial"/>
                  <w:color w:val="3D79B8"/>
                </w:rPr>
                <w:t>disclosure process</w:t>
              </w:r>
            </w:hyperlink>
            <w:r>
              <w:rPr>
                <w:rFonts w:ascii="Arial" w:hAnsi="Arial" w:cs="Arial"/>
                <w:color w:val="4F4F4F"/>
              </w:rPr>
              <w:t>, including meeting with each Member at least annually to review the disclosure of the Member’s financial interests;</w:t>
            </w:r>
          </w:p>
          <w:p w:rsidR="00BF4625" w:rsidRPr="00BF4625" w:rsidRDefault="00BF4625" w:rsidP="00BF4625">
            <w:pPr>
              <w:numPr>
                <w:ilvl w:val="0"/>
                <w:numId w:val="28"/>
              </w:numPr>
              <w:shd w:val="clear" w:color="auto" w:fill="FFFFFF"/>
              <w:spacing w:before="100" w:beforeAutospacing="1" w:after="120"/>
              <w:ind w:left="1512" w:right="605"/>
              <w:jc w:val="both"/>
              <w:rPr>
                <w:rFonts w:ascii="Arial" w:hAnsi="Arial" w:cs="Arial"/>
                <w:b/>
                <w:color w:val="4F4F4F"/>
              </w:rPr>
            </w:pPr>
            <w:r w:rsidRPr="00BF4625">
              <w:rPr>
                <w:rFonts w:ascii="Arial" w:hAnsi="Arial" w:cs="Arial"/>
                <w:b/>
                <w:color w:val="4F4F4F"/>
              </w:rPr>
              <w:t>To respond to allegation that a Member has contravened the </w:t>
            </w:r>
            <w:r w:rsidRPr="00BF4625">
              <w:rPr>
                <w:rStyle w:val="Emphasis"/>
                <w:rFonts w:ascii="Arial" w:hAnsi="Arial" w:cs="Arial"/>
                <w:b/>
                <w:color w:val="4F4F4F"/>
              </w:rPr>
              <w:t>Act, </w:t>
            </w:r>
            <w:r w:rsidRPr="00BF4625">
              <w:rPr>
                <w:rFonts w:ascii="Arial" w:hAnsi="Arial" w:cs="Arial"/>
                <w:b/>
                <w:color w:val="4F4F4F"/>
              </w:rPr>
              <w:t>and conduct an </w:t>
            </w:r>
            <w:hyperlink r:id="rId30" w:anchor="Making_a_Complaint" w:tgtFrame="_blank" w:history="1">
              <w:r w:rsidRPr="00BF4625">
                <w:rPr>
                  <w:rStyle w:val="Strong"/>
                  <w:rFonts w:ascii="Arial" w:hAnsi="Arial" w:cs="Arial"/>
                  <w:b w:val="0"/>
                  <w:color w:val="3D79B8"/>
                </w:rPr>
                <w:t>Inquiry</w:t>
              </w:r>
            </w:hyperlink>
            <w:r w:rsidRPr="00BF4625">
              <w:rPr>
                <w:rFonts w:ascii="Arial" w:hAnsi="Arial" w:cs="Arial"/>
                <w:b/>
                <w:color w:val="4F4F4F"/>
              </w:rPr>
              <w:t> if warranted.</w:t>
            </w:r>
          </w:p>
          <w:p w:rsidR="00BF4625" w:rsidRPr="00BF4625" w:rsidRDefault="00BF4625" w:rsidP="00BF4625">
            <w:pPr>
              <w:pStyle w:val="SCJNumber0"/>
              <w:ind w:left="720"/>
              <w:rPr>
                <w:rStyle w:val="Hyperlink"/>
                <w:color w:val="auto"/>
                <w:u w:val="none"/>
                <w:lang w:val="en-CA"/>
              </w:rPr>
            </w:pPr>
          </w:p>
          <w:p w:rsidR="007D6573" w:rsidRPr="007D6573" w:rsidRDefault="007D6573" w:rsidP="007D6573">
            <w:pPr>
              <w:pStyle w:val="Default"/>
              <w:spacing w:after="240"/>
              <w:ind w:left="806"/>
              <w:jc w:val="both"/>
              <w:rPr>
                <w:rFonts w:ascii="Arial" w:hAnsi="Arial" w:cs="Arial"/>
              </w:rPr>
            </w:pPr>
          </w:p>
          <w:p w:rsidR="006A609D" w:rsidRPr="00DA5BD2" w:rsidRDefault="007D6573" w:rsidP="00DA5BD2">
            <w:pPr>
              <w:pStyle w:val="Default"/>
              <w:numPr>
                <w:ilvl w:val="1"/>
                <w:numId w:val="1"/>
              </w:numPr>
              <w:spacing w:after="240"/>
              <w:ind w:left="806" w:hanging="806"/>
              <w:jc w:val="both"/>
              <w:rPr>
                <w:rFonts w:ascii="Arial" w:hAnsi="Arial" w:cs="Arial"/>
                <w:b/>
              </w:rPr>
            </w:pPr>
            <w:r>
              <w:rPr>
                <w:rFonts w:ascii="Arial" w:hAnsi="Arial" w:cs="Arial"/>
                <w:b/>
              </w:rPr>
              <w:t>MINOR INJURY “CAPS”</w:t>
            </w:r>
            <w:r w:rsidR="00DA5BD2">
              <w:rPr>
                <w:rFonts w:ascii="Arial" w:hAnsi="Arial" w:cs="Arial"/>
                <w:b/>
              </w:rPr>
              <w:t xml:space="preserve">: </w:t>
            </w:r>
            <w:r w:rsidR="00DA5BD2" w:rsidRPr="00DA5BD2">
              <w:rPr>
                <w:rFonts w:ascii="Arial" w:hAnsi="Arial" w:cs="Arial"/>
              </w:rPr>
              <w:t xml:space="preserve">A refresher on our </w:t>
            </w:r>
            <w:r w:rsidR="006F0BA1">
              <w:rPr>
                <w:rFonts w:ascii="Arial" w:hAnsi="Arial" w:cs="Arial"/>
              </w:rPr>
              <w:t>lesson about these</w:t>
            </w:r>
            <w:r w:rsidR="00DA5BD2" w:rsidRPr="00DA5BD2">
              <w:rPr>
                <w:rFonts w:ascii="Arial" w:hAnsi="Arial" w:cs="Arial"/>
              </w:rPr>
              <w:t xml:space="preserve"> caps </w:t>
            </w:r>
            <w:r w:rsidR="006F0BA1">
              <w:rPr>
                <w:rFonts w:ascii="Arial" w:hAnsi="Arial" w:cs="Arial"/>
              </w:rPr>
              <w:t>from</w:t>
            </w:r>
            <w:r w:rsidR="00DA5BD2" w:rsidRPr="00DA5BD2">
              <w:rPr>
                <w:rFonts w:ascii="Arial" w:hAnsi="Arial" w:cs="Arial"/>
              </w:rPr>
              <w:t xml:space="preserve"> Week 4’s lecture on non-pecuniary damages: </w:t>
            </w:r>
          </w:p>
          <w:p w:rsidR="00DA5BD2" w:rsidRPr="006F0BA1" w:rsidRDefault="00DA5BD2" w:rsidP="00DA5BD2">
            <w:pPr>
              <w:pStyle w:val="Default"/>
              <w:numPr>
                <w:ilvl w:val="0"/>
                <w:numId w:val="30"/>
              </w:numPr>
              <w:jc w:val="both"/>
              <w:rPr>
                <w:rFonts w:ascii="Arial" w:hAnsi="Arial" w:cs="Arial"/>
                <w:b/>
              </w:rPr>
            </w:pPr>
            <w:r w:rsidRPr="006F0BA1">
              <w:rPr>
                <w:rFonts w:ascii="Arial" w:hAnsi="Arial" w:cs="Arial"/>
              </w:rPr>
              <w:t xml:space="preserve">For motor vehicle accidents occurring after April 1, 2019, non-pecuniary damages for injuries that fall under the definition of “minor injury” are capped at $5,500. The two key pieces of legislation on this topic at the </w:t>
            </w:r>
            <w:r w:rsidRPr="006F0BA1">
              <w:rPr>
                <w:rFonts w:ascii="Arial" w:hAnsi="Arial" w:cs="Arial"/>
                <w:b/>
                <w:i/>
              </w:rPr>
              <w:t>Insurance (Vehicle) Act</w:t>
            </w:r>
            <w:r w:rsidRPr="006F0BA1">
              <w:rPr>
                <w:rFonts w:ascii="Arial" w:hAnsi="Arial" w:cs="Arial"/>
                <w:b/>
              </w:rPr>
              <w:t xml:space="preserve">, RSBC 1996, c 231 [the </w:t>
            </w:r>
            <w:r w:rsidRPr="006F0BA1">
              <w:rPr>
                <w:rFonts w:ascii="Arial" w:hAnsi="Arial" w:cs="Arial"/>
                <w:b/>
                <w:i/>
              </w:rPr>
              <w:t>Act</w:t>
            </w:r>
            <w:r w:rsidRPr="006F0BA1">
              <w:rPr>
                <w:rFonts w:ascii="Arial" w:hAnsi="Arial" w:cs="Arial"/>
                <w:b/>
              </w:rPr>
              <w:t>]</w:t>
            </w:r>
            <w:r w:rsidRPr="006F0BA1">
              <w:rPr>
                <w:rFonts w:ascii="Arial" w:hAnsi="Arial" w:cs="Arial"/>
              </w:rPr>
              <w:t xml:space="preserve"> and the </w:t>
            </w:r>
            <w:r w:rsidRPr="006F0BA1">
              <w:rPr>
                <w:rFonts w:ascii="Arial" w:hAnsi="Arial" w:cs="Arial"/>
                <w:b/>
              </w:rPr>
              <w:t xml:space="preserve">Minor Injury Regulation, BC </w:t>
            </w:r>
            <w:proofErr w:type="spellStart"/>
            <w:r w:rsidRPr="006F0BA1">
              <w:rPr>
                <w:rFonts w:ascii="Arial" w:hAnsi="Arial" w:cs="Arial"/>
                <w:b/>
              </w:rPr>
              <w:t>Reg</w:t>
            </w:r>
            <w:proofErr w:type="spellEnd"/>
            <w:r w:rsidRPr="006F0BA1">
              <w:rPr>
                <w:rFonts w:ascii="Arial" w:hAnsi="Arial" w:cs="Arial"/>
                <w:b/>
              </w:rPr>
              <w:t xml:space="preserve"> 234/2018 [the </w:t>
            </w:r>
            <w:r w:rsidRPr="006F0BA1">
              <w:rPr>
                <w:rFonts w:ascii="Arial" w:hAnsi="Arial" w:cs="Arial"/>
                <w:b/>
                <w:i/>
              </w:rPr>
              <w:t>Regulation</w:t>
            </w:r>
            <w:r w:rsidRPr="006F0BA1">
              <w:rPr>
                <w:rFonts w:ascii="Arial" w:hAnsi="Arial" w:cs="Arial"/>
                <w:b/>
              </w:rPr>
              <w:t>]</w:t>
            </w:r>
            <w:r w:rsidRPr="006F0BA1">
              <w:rPr>
                <w:rFonts w:ascii="Arial" w:hAnsi="Arial" w:cs="Arial"/>
              </w:rPr>
              <w:t xml:space="preserve">. </w:t>
            </w:r>
          </w:p>
          <w:p w:rsidR="00DA5BD2" w:rsidRPr="006F0BA1" w:rsidRDefault="00DA5BD2" w:rsidP="00DA5BD2">
            <w:pPr>
              <w:pStyle w:val="sub"/>
              <w:shd w:val="clear" w:color="auto" w:fill="FFFFFF"/>
              <w:spacing w:before="0" w:beforeAutospacing="0" w:after="0" w:afterAutospacing="0"/>
              <w:ind w:left="360"/>
              <w:jc w:val="both"/>
              <w:rPr>
                <w:rFonts w:ascii="Arial" w:hAnsi="Arial" w:cs="Arial"/>
                <w:color w:val="000000"/>
              </w:rPr>
            </w:pPr>
          </w:p>
          <w:p w:rsidR="00DA5BD2" w:rsidRPr="006F0BA1" w:rsidRDefault="00DA5BD2" w:rsidP="00DA5BD2">
            <w:pPr>
              <w:pStyle w:val="sub"/>
              <w:numPr>
                <w:ilvl w:val="0"/>
                <w:numId w:val="30"/>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Despite the cap on non-pecuniary damages, the other heads of damage remain “un-capped” (i.e. past/future income losses, loss of housekeeping capacity, future care, in-trust claims, etc.) </w:t>
            </w:r>
          </w:p>
          <w:p w:rsidR="00DA5BD2" w:rsidRPr="006F0BA1" w:rsidRDefault="00DA5BD2" w:rsidP="00DA5BD2">
            <w:pPr>
              <w:pStyle w:val="ListParagraph"/>
              <w:rPr>
                <w:rFonts w:ascii="Arial" w:hAnsi="Arial" w:cs="Arial"/>
                <w:color w:val="000000"/>
              </w:rPr>
            </w:pPr>
          </w:p>
          <w:p w:rsidR="00DA5BD2" w:rsidRPr="006F0BA1" w:rsidRDefault="00DA5BD2" w:rsidP="00DA5BD2">
            <w:pPr>
              <w:pStyle w:val="sub"/>
              <w:numPr>
                <w:ilvl w:val="0"/>
                <w:numId w:val="30"/>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What injuries fall under the definition of “minor injury”?  </w:t>
            </w:r>
            <w:r w:rsidRPr="006F0BA1">
              <w:rPr>
                <w:rFonts w:ascii="Arial" w:hAnsi="Arial" w:cs="Arial"/>
              </w:rPr>
              <w:t xml:space="preserve">Section 101(1) of the </w:t>
            </w:r>
            <w:r w:rsidRPr="006F0BA1">
              <w:rPr>
                <w:rFonts w:ascii="Arial" w:hAnsi="Arial" w:cs="Arial"/>
                <w:b/>
                <w:i/>
              </w:rPr>
              <w:t>Act</w:t>
            </w:r>
            <w:r w:rsidRPr="006F0BA1">
              <w:rPr>
                <w:rFonts w:ascii="Arial" w:hAnsi="Arial" w:cs="Arial"/>
                <w:b/>
              </w:rPr>
              <w:t xml:space="preserve"> </w:t>
            </w:r>
            <w:r w:rsidRPr="006F0BA1">
              <w:rPr>
                <w:rFonts w:ascii="Arial" w:hAnsi="Arial" w:cs="Arial"/>
              </w:rPr>
              <w:t>defines “minor injury” and “serious impairment”:</w:t>
            </w:r>
          </w:p>
          <w:p w:rsidR="00DA5BD2" w:rsidRPr="006F0BA1" w:rsidRDefault="00DA5BD2" w:rsidP="00DA5BD2">
            <w:pPr>
              <w:pStyle w:val="ListParagraph"/>
              <w:rPr>
                <w:rFonts w:ascii="Arial" w:hAnsi="Arial" w:cs="Arial"/>
                <w:b/>
              </w:rPr>
            </w:pPr>
          </w:p>
          <w:p w:rsidR="00DA5BD2" w:rsidRPr="006F0BA1" w:rsidRDefault="00DA5BD2" w:rsidP="00DA5BD2">
            <w:pPr>
              <w:pStyle w:val="Default"/>
              <w:ind w:left="720" w:right="720"/>
              <w:jc w:val="both"/>
              <w:rPr>
                <w:rFonts w:ascii="Arial" w:hAnsi="Arial" w:cs="Arial"/>
              </w:rPr>
            </w:pPr>
            <w:r w:rsidRPr="006F0BA1">
              <w:rPr>
                <w:rFonts w:ascii="Arial" w:hAnsi="Arial" w:cs="Arial"/>
                <w:b/>
              </w:rPr>
              <w:t>“minor injury</w:t>
            </w:r>
            <w:r w:rsidRPr="006F0BA1">
              <w:rPr>
                <w:rFonts w:ascii="Arial" w:hAnsi="Arial" w:cs="Arial"/>
              </w:rPr>
              <w:t xml:space="preserve">” means a physical or mental injury, whether or not chronic, that </w:t>
            </w:r>
          </w:p>
          <w:p w:rsidR="00DA5BD2" w:rsidRPr="006F0BA1" w:rsidRDefault="00DA5BD2" w:rsidP="00DA5BD2">
            <w:pPr>
              <w:pStyle w:val="Default"/>
              <w:numPr>
                <w:ilvl w:val="0"/>
                <w:numId w:val="31"/>
              </w:numPr>
              <w:ind w:left="1080" w:right="720"/>
              <w:jc w:val="both"/>
              <w:rPr>
                <w:rFonts w:ascii="Arial" w:hAnsi="Arial" w:cs="Arial"/>
              </w:rPr>
            </w:pPr>
            <w:r w:rsidRPr="006F0BA1">
              <w:rPr>
                <w:rFonts w:ascii="Arial" w:hAnsi="Arial" w:cs="Arial"/>
              </w:rPr>
              <w:t xml:space="preserve">Subject to subsection (2), does not result in a serious impairment or a permanent serious disfigurement of the claimant, and </w:t>
            </w:r>
          </w:p>
          <w:p w:rsidR="00DA5BD2" w:rsidRPr="006F0BA1" w:rsidRDefault="00DA5BD2" w:rsidP="00DA5BD2">
            <w:pPr>
              <w:pStyle w:val="Default"/>
              <w:numPr>
                <w:ilvl w:val="0"/>
                <w:numId w:val="31"/>
              </w:numPr>
              <w:ind w:left="1080" w:right="720"/>
              <w:jc w:val="both"/>
              <w:rPr>
                <w:rFonts w:ascii="Arial" w:hAnsi="Arial" w:cs="Arial"/>
              </w:rPr>
            </w:pPr>
            <w:r w:rsidRPr="006F0BA1">
              <w:rPr>
                <w:rFonts w:ascii="Arial" w:hAnsi="Arial" w:cs="Arial"/>
              </w:rPr>
              <w:t>Is one of the following:</w:t>
            </w:r>
          </w:p>
          <w:p w:rsidR="00DA5BD2" w:rsidRPr="006F0BA1" w:rsidRDefault="00DA5BD2" w:rsidP="00DA5BD2">
            <w:pPr>
              <w:pStyle w:val="Default"/>
              <w:numPr>
                <w:ilvl w:val="0"/>
                <w:numId w:val="32"/>
              </w:numPr>
              <w:ind w:left="2520" w:right="720"/>
              <w:jc w:val="both"/>
              <w:rPr>
                <w:rFonts w:ascii="Arial" w:hAnsi="Arial" w:cs="Arial"/>
              </w:rPr>
            </w:pPr>
            <w:r w:rsidRPr="006F0BA1">
              <w:rPr>
                <w:rFonts w:ascii="Arial" w:hAnsi="Arial" w:cs="Arial"/>
              </w:rPr>
              <w:t>An abrasion, a contusion, a laceration, a sprain or a strain;</w:t>
            </w:r>
          </w:p>
          <w:p w:rsidR="00DA5BD2" w:rsidRPr="006F0BA1" w:rsidRDefault="00DA5BD2" w:rsidP="00DA5BD2">
            <w:pPr>
              <w:pStyle w:val="Default"/>
              <w:numPr>
                <w:ilvl w:val="0"/>
                <w:numId w:val="32"/>
              </w:numPr>
              <w:ind w:left="2520" w:right="720"/>
              <w:jc w:val="both"/>
              <w:rPr>
                <w:rFonts w:ascii="Arial" w:hAnsi="Arial" w:cs="Arial"/>
              </w:rPr>
            </w:pPr>
            <w:r w:rsidRPr="006F0BA1">
              <w:rPr>
                <w:rFonts w:ascii="Arial" w:hAnsi="Arial" w:cs="Arial"/>
              </w:rPr>
              <w:t>A pain syndrome;</w:t>
            </w:r>
          </w:p>
          <w:p w:rsidR="00DA5BD2" w:rsidRPr="006F0BA1" w:rsidRDefault="00DA5BD2" w:rsidP="00DA5BD2">
            <w:pPr>
              <w:pStyle w:val="Default"/>
              <w:numPr>
                <w:ilvl w:val="0"/>
                <w:numId w:val="32"/>
              </w:numPr>
              <w:ind w:left="2520" w:right="720"/>
              <w:jc w:val="both"/>
              <w:rPr>
                <w:rFonts w:ascii="Arial" w:hAnsi="Arial" w:cs="Arial"/>
              </w:rPr>
            </w:pPr>
            <w:r w:rsidRPr="006F0BA1">
              <w:rPr>
                <w:rFonts w:ascii="Arial" w:hAnsi="Arial" w:cs="Arial"/>
              </w:rPr>
              <w:t>A psychological or psychiatric condition;</w:t>
            </w:r>
          </w:p>
          <w:p w:rsidR="00DA5BD2" w:rsidRPr="006F0BA1" w:rsidRDefault="00DA5BD2" w:rsidP="00DA5BD2">
            <w:pPr>
              <w:pStyle w:val="Default"/>
              <w:numPr>
                <w:ilvl w:val="0"/>
                <w:numId w:val="32"/>
              </w:numPr>
              <w:ind w:left="2520" w:right="720"/>
              <w:jc w:val="both"/>
              <w:rPr>
                <w:rFonts w:ascii="Arial" w:hAnsi="Arial" w:cs="Arial"/>
              </w:rPr>
            </w:pPr>
            <w:r w:rsidRPr="006F0BA1">
              <w:rPr>
                <w:rFonts w:ascii="Arial" w:hAnsi="Arial" w:cs="Arial"/>
              </w:rPr>
              <w:t>A prescribed injury or an injury in a prescribed type or class of injury;</w:t>
            </w:r>
          </w:p>
          <w:p w:rsidR="00DA5BD2" w:rsidRPr="006F0BA1" w:rsidRDefault="00DA5BD2" w:rsidP="00DA5BD2">
            <w:pPr>
              <w:pStyle w:val="Default"/>
              <w:jc w:val="both"/>
              <w:rPr>
                <w:rFonts w:ascii="Arial" w:hAnsi="Arial" w:cs="Arial"/>
              </w:rPr>
            </w:pPr>
          </w:p>
          <w:p w:rsidR="00DA5BD2" w:rsidRPr="006F0BA1" w:rsidRDefault="00DA5BD2" w:rsidP="00DA5BD2">
            <w:pPr>
              <w:pStyle w:val="Default"/>
              <w:ind w:left="720" w:right="720"/>
              <w:jc w:val="both"/>
              <w:rPr>
                <w:rFonts w:ascii="Arial" w:hAnsi="Arial" w:cs="Arial"/>
              </w:rPr>
            </w:pPr>
            <w:r w:rsidRPr="006F0BA1">
              <w:rPr>
                <w:rFonts w:ascii="Arial" w:hAnsi="Arial" w:cs="Arial"/>
              </w:rPr>
              <w:t>“</w:t>
            </w:r>
            <w:r w:rsidRPr="006F0BA1">
              <w:rPr>
                <w:rFonts w:ascii="Arial" w:hAnsi="Arial" w:cs="Arial"/>
                <w:b/>
              </w:rPr>
              <w:t>serious impairment”</w:t>
            </w:r>
            <w:r w:rsidRPr="006F0BA1">
              <w:rPr>
                <w:rFonts w:ascii="Arial" w:hAnsi="Arial" w:cs="Arial"/>
              </w:rPr>
              <w:t>, in relation to a claimant, means a physical or mental impairment that</w:t>
            </w:r>
          </w:p>
          <w:p w:rsidR="00DA5BD2" w:rsidRPr="006F0BA1" w:rsidRDefault="00DA5BD2" w:rsidP="00DA5BD2">
            <w:pPr>
              <w:pStyle w:val="Default"/>
              <w:numPr>
                <w:ilvl w:val="0"/>
                <w:numId w:val="38"/>
              </w:numPr>
              <w:ind w:left="1440" w:right="720"/>
              <w:jc w:val="both"/>
              <w:rPr>
                <w:rFonts w:ascii="Arial" w:hAnsi="Arial" w:cs="Arial"/>
              </w:rPr>
            </w:pPr>
            <w:r w:rsidRPr="006F0BA1">
              <w:rPr>
                <w:rFonts w:ascii="Arial" w:hAnsi="Arial" w:cs="Arial"/>
              </w:rPr>
              <w:t>Is not resolved within 12 months, or another prescribed period, if any, after the date of the accident, and</w:t>
            </w:r>
          </w:p>
          <w:p w:rsidR="00DA5BD2" w:rsidRPr="006F0BA1" w:rsidRDefault="00DA5BD2" w:rsidP="00DA5BD2">
            <w:pPr>
              <w:pStyle w:val="Default"/>
              <w:numPr>
                <w:ilvl w:val="0"/>
                <w:numId w:val="38"/>
              </w:numPr>
              <w:ind w:left="1440" w:right="720"/>
              <w:jc w:val="both"/>
              <w:rPr>
                <w:rFonts w:ascii="Arial" w:hAnsi="Arial" w:cs="Arial"/>
              </w:rPr>
            </w:pPr>
            <w:r w:rsidRPr="006F0BA1">
              <w:rPr>
                <w:rFonts w:ascii="Arial" w:hAnsi="Arial" w:cs="Arial"/>
              </w:rPr>
              <w:t xml:space="preserve">Meets prescribed criteria. </w:t>
            </w:r>
          </w:p>
          <w:p w:rsidR="00DA5BD2" w:rsidRPr="006F0BA1" w:rsidRDefault="00DA5BD2" w:rsidP="00DA5BD2">
            <w:pPr>
              <w:pStyle w:val="Default"/>
              <w:jc w:val="both"/>
              <w:rPr>
                <w:rFonts w:ascii="Arial" w:hAnsi="Arial" w:cs="Arial"/>
              </w:rPr>
            </w:pPr>
          </w:p>
          <w:p w:rsidR="00DA5BD2" w:rsidRPr="006F0BA1" w:rsidRDefault="00DA5BD2" w:rsidP="00DA5BD2">
            <w:pPr>
              <w:pStyle w:val="Default"/>
              <w:numPr>
                <w:ilvl w:val="0"/>
                <w:numId w:val="33"/>
              </w:numPr>
              <w:jc w:val="both"/>
              <w:rPr>
                <w:rFonts w:ascii="Arial" w:hAnsi="Arial" w:cs="Arial"/>
              </w:rPr>
            </w:pPr>
            <w:r w:rsidRPr="006F0BA1">
              <w:rPr>
                <w:rFonts w:ascii="Arial" w:hAnsi="Arial" w:cs="Arial"/>
              </w:rPr>
              <w:t xml:space="preserve">Section 2 of the </w:t>
            </w:r>
            <w:r w:rsidRPr="006F0BA1">
              <w:rPr>
                <w:rFonts w:ascii="Arial" w:hAnsi="Arial" w:cs="Arial"/>
                <w:b/>
                <w:i/>
              </w:rPr>
              <w:t>Regulation</w:t>
            </w:r>
            <w:r w:rsidRPr="006F0BA1">
              <w:rPr>
                <w:rFonts w:ascii="Arial" w:hAnsi="Arial" w:cs="Arial"/>
                <w:b/>
              </w:rPr>
              <w:t xml:space="preserve"> </w:t>
            </w:r>
            <w:r w:rsidRPr="006F0BA1">
              <w:rPr>
                <w:rFonts w:ascii="Arial" w:hAnsi="Arial" w:cs="Arial"/>
              </w:rPr>
              <w:t>provides the prescribed injury for definition of “minor injury”:</w:t>
            </w:r>
          </w:p>
          <w:p w:rsidR="00DA5BD2" w:rsidRPr="006F0BA1" w:rsidRDefault="00DA5BD2" w:rsidP="00DA5BD2">
            <w:pPr>
              <w:pStyle w:val="Default"/>
              <w:ind w:left="360"/>
              <w:jc w:val="both"/>
              <w:rPr>
                <w:rFonts w:ascii="Arial" w:hAnsi="Arial" w:cs="Arial"/>
              </w:rPr>
            </w:pPr>
          </w:p>
          <w:p w:rsidR="00DA5BD2" w:rsidRPr="006F0BA1" w:rsidRDefault="00DA5BD2" w:rsidP="00DA5BD2">
            <w:pPr>
              <w:pStyle w:val="Default"/>
              <w:ind w:left="720" w:right="720"/>
              <w:jc w:val="both"/>
              <w:rPr>
                <w:rFonts w:ascii="Arial" w:hAnsi="Arial" w:cs="Arial"/>
              </w:rPr>
            </w:pPr>
            <w:r w:rsidRPr="006F0BA1">
              <w:rPr>
                <w:rFonts w:ascii="Arial" w:hAnsi="Arial" w:cs="Arial"/>
              </w:rPr>
              <w:t>2. The following injuries are prescribed injuries for the purposes of paragraph (b) (iv) of the definition of “minor injury” in section 101 (1) of the Act:</w:t>
            </w:r>
          </w:p>
          <w:p w:rsidR="00DA5BD2" w:rsidRPr="006F0BA1" w:rsidRDefault="00DA5BD2" w:rsidP="00DA5BD2">
            <w:pPr>
              <w:pStyle w:val="Default"/>
              <w:ind w:left="1440" w:right="720"/>
              <w:jc w:val="both"/>
              <w:rPr>
                <w:rFonts w:ascii="Arial" w:hAnsi="Arial" w:cs="Arial"/>
              </w:rPr>
            </w:pPr>
            <w:r w:rsidRPr="006F0BA1">
              <w:rPr>
                <w:rFonts w:ascii="Arial" w:hAnsi="Arial" w:cs="Arial"/>
              </w:rPr>
              <w:t>(a) a concussion that does not result in an incapacity;</w:t>
            </w:r>
          </w:p>
          <w:p w:rsidR="00DA5BD2" w:rsidRPr="006F0BA1" w:rsidRDefault="00DA5BD2" w:rsidP="00DA5BD2">
            <w:pPr>
              <w:pStyle w:val="Default"/>
              <w:ind w:left="1440" w:right="720"/>
              <w:jc w:val="both"/>
              <w:rPr>
                <w:rFonts w:ascii="Arial" w:hAnsi="Arial" w:cs="Arial"/>
              </w:rPr>
            </w:pPr>
            <w:r w:rsidRPr="006F0BA1">
              <w:rPr>
                <w:rFonts w:ascii="Arial" w:hAnsi="Arial" w:cs="Arial"/>
              </w:rPr>
              <w:t>(b) a TMJ disorder;</w:t>
            </w:r>
          </w:p>
          <w:p w:rsidR="00DA5BD2" w:rsidRPr="006F0BA1" w:rsidRDefault="00DA5BD2" w:rsidP="00DA5BD2">
            <w:pPr>
              <w:pStyle w:val="Default"/>
              <w:ind w:left="1440" w:right="720"/>
              <w:jc w:val="both"/>
              <w:rPr>
                <w:rFonts w:ascii="Arial" w:hAnsi="Arial" w:cs="Arial"/>
              </w:rPr>
            </w:pPr>
            <w:r w:rsidRPr="006F0BA1">
              <w:rPr>
                <w:rFonts w:ascii="Arial" w:hAnsi="Arial" w:cs="Arial"/>
              </w:rPr>
              <w:t xml:space="preserve">(c) a WAD injury. </w:t>
            </w:r>
          </w:p>
          <w:p w:rsidR="00DA5BD2" w:rsidRPr="006F0BA1" w:rsidRDefault="00DA5BD2" w:rsidP="00DA5BD2">
            <w:pPr>
              <w:pStyle w:val="Default"/>
              <w:ind w:left="720"/>
              <w:jc w:val="both"/>
              <w:rPr>
                <w:rFonts w:ascii="Arial" w:hAnsi="Arial" w:cs="Arial"/>
              </w:rPr>
            </w:pPr>
          </w:p>
          <w:p w:rsidR="00DA5BD2" w:rsidRPr="006F0BA1" w:rsidRDefault="00DA5BD2" w:rsidP="00DA5BD2">
            <w:pPr>
              <w:pStyle w:val="Default"/>
              <w:numPr>
                <w:ilvl w:val="0"/>
                <w:numId w:val="33"/>
              </w:numPr>
              <w:jc w:val="both"/>
              <w:rPr>
                <w:rFonts w:ascii="Arial" w:hAnsi="Arial" w:cs="Arial"/>
              </w:rPr>
            </w:pPr>
            <w:r w:rsidRPr="006F0BA1">
              <w:rPr>
                <w:rFonts w:ascii="Arial" w:hAnsi="Arial" w:cs="Arial"/>
              </w:rPr>
              <w:t xml:space="preserve">Section 1 of the </w:t>
            </w:r>
            <w:r w:rsidRPr="006F0BA1">
              <w:rPr>
                <w:rFonts w:ascii="Arial" w:hAnsi="Arial" w:cs="Arial"/>
                <w:b/>
                <w:i/>
              </w:rPr>
              <w:t>Regulation</w:t>
            </w:r>
            <w:r w:rsidRPr="006F0BA1">
              <w:rPr>
                <w:rFonts w:ascii="Arial" w:hAnsi="Arial" w:cs="Arial"/>
                <w:i/>
              </w:rPr>
              <w:t xml:space="preserve"> </w:t>
            </w:r>
            <w:r w:rsidRPr="006F0BA1">
              <w:rPr>
                <w:rFonts w:ascii="Arial" w:hAnsi="Arial" w:cs="Arial"/>
              </w:rPr>
              <w:t>sets out the following definitions:</w:t>
            </w:r>
          </w:p>
          <w:p w:rsidR="00DA5BD2" w:rsidRPr="006F0BA1" w:rsidRDefault="00DA5BD2" w:rsidP="00DA5BD2">
            <w:pPr>
              <w:pStyle w:val="Default"/>
              <w:ind w:left="360"/>
              <w:jc w:val="both"/>
              <w:rPr>
                <w:rFonts w:ascii="Arial" w:hAnsi="Arial" w:cs="Arial"/>
              </w:rPr>
            </w:pPr>
          </w:p>
          <w:p w:rsidR="00DA5BD2" w:rsidRPr="006F0BA1" w:rsidRDefault="00DA5BD2" w:rsidP="00DA5BD2">
            <w:pPr>
              <w:pStyle w:val="Default"/>
              <w:ind w:left="720" w:right="720"/>
              <w:jc w:val="both"/>
              <w:rPr>
                <w:rFonts w:ascii="Arial" w:hAnsi="Arial" w:cs="Arial"/>
              </w:rPr>
            </w:pPr>
            <w:r w:rsidRPr="006F0BA1">
              <w:rPr>
                <w:rFonts w:ascii="Arial" w:hAnsi="Arial" w:cs="Arial"/>
                <w:b/>
              </w:rPr>
              <w:t xml:space="preserve">“incapacity”, </w:t>
            </w:r>
            <w:r w:rsidRPr="006F0BA1">
              <w:rPr>
                <w:rFonts w:ascii="Arial" w:hAnsi="Arial" w:cs="Arial"/>
              </w:rPr>
              <w:t>in relation to a claimant, means a mental or physical incapacity that</w:t>
            </w:r>
          </w:p>
          <w:p w:rsidR="00DA5BD2" w:rsidRPr="006F0BA1" w:rsidRDefault="00DA5BD2" w:rsidP="00DA5BD2">
            <w:pPr>
              <w:pStyle w:val="Default"/>
              <w:ind w:left="720" w:right="720"/>
              <w:jc w:val="both"/>
              <w:rPr>
                <w:rFonts w:ascii="Arial" w:hAnsi="Arial" w:cs="Arial"/>
              </w:rPr>
            </w:pPr>
          </w:p>
          <w:p w:rsidR="00DA5BD2" w:rsidRPr="006F0BA1" w:rsidRDefault="00DA5BD2" w:rsidP="00DA5BD2">
            <w:pPr>
              <w:pStyle w:val="Default"/>
              <w:numPr>
                <w:ilvl w:val="0"/>
                <w:numId w:val="34"/>
              </w:numPr>
              <w:ind w:left="1080" w:right="720"/>
              <w:jc w:val="both"/>
              <w:rPr>
                <w:rFonts w:ascii="Arial" w:hAnsi="Arial" w:cs="Arial"/>
              </w:rPr>
            </w:pPr>
            <w:r w:rsidRPr="006F0BA1">
              <w:rPr>
                <w:rFonts w:ascii="Arial" w:hAnsi="Arial" w:cs="Arial"/>
              </w:rPr>
              <w:t>Is not resolved within 16 weeks after the date the incapacity arises, and</w:t>
            </w:r>
          </w:p>
          <w:p w:rsidR="00DA5BD2" w:rsidRPr="006F0BA1" w:rsidRDefault="00DA5BD2" w:rsidP="00DA5BD2">
            <w:pPr>
              <w:pStyle w:val="Default"/>
              <w:numPr>
                <w:ilvl w:val="0"/>
                <w:numId w:val="34"/>
              </w:numPr>
              <w:ind w:left="1080" w:right="720"/>
              <w:jc w:val="both"/>
              <w:rPr>
                <w:rFonts w:ascii="Arial" w:hAnsi="Arial" w:cs="Arial"/>
              </w:rPr>
            </w:pPr>
            <w:r w:rsidRPr="006F0BA1">
              <w:rPr>
                <w:rFonts w:ascii="Arial" w:hAnsi="Arial" w:cs="Arial"/>
              </w:rPr>
              <w:t>Is the primary cause of a substantial inability of the claimant to perform</w:t>
            </w:r>
          </w:p>
          <w:p w:rsidR="00DA5BD2" w:rsidRPr="006F0BA1" w:rsidRDefault="00DA5BD2" w:rsidP="00DA5BD2">
            <w:pPr>
              <w:pStyle w:val="Default"/>
              <w:numPr>
                <w:ilvl w:val="0"/>
                <w:numId w:val="35"/>
              </w:numPr>
              <w:ind w:left="1800" w:right="720"/>
              <w:jc w:val="both"/>
              <w:rPr>
                <w:rFonts w:ascii="Arial" w:hAnsi="Arial" w:cs="Arial"/>
              </w:rPr>
            </w:pPr>
            <w:r w:rsidRPr="006F0BA1">
              <w:rPr>
                <w:rFonts w:ascii="Arial" w:hAnsi="Arial" w:cs="Arial"/>
              </w:rPr>
              <w:t>Essential tasks of the claimant’s regular employment, occupation or profession, despite reasonable efforts to accommodate the claimant’s incapacity and the claimant’s reasonable efforts to use the accommodation to allow the claimant to continue the claimant’s employment, occupation or profession,</w:t>
            </w:r>
          </w:p>
          <w:p w:rsidR="00DA5BD2" w:rsidRPr="006F0BA1" w:rsidRDefault="00DA5BD2" w:rsidP="00DA5BD2">
            <w:pPr>
              <w:pStyle w:val="Default"/>
              <w:numPr>
                <w:ilvl w:val="0"/>
                <w:numId w:val="35"/>
              </w:numPr>
              <w:ind w:left="1800" w:right="720"/>
              <w:jc w:val="both"/>
              <w:rPr>
                <w:rFonts w:ascii="Arial" w:hAnsi="Arial" w:cs="Arial"/>
              </w:rPr>
            </w:pPr>
            <w:r w:rsidRPr="006F0BA1">
              <w:rPr>
                <w:rFonts w:ascii="Arial" w:hAnsi="Arial" w:cs="Arial"/>
              </w:rPr>
              <w:t>The essential tasks of the claimant’s training or education in a program or course that the claimant was enrolled in or had been accepted for enrolment in at the time of the accident, despite reasonable efforts to accommodate the claimant’s incapacity and the claimant’s reasonable efforts to use the accommodation to allow the claimant to continue the claimant’s training or education, or</w:t>
            </w:r>
          </w:p>
          <w:p w:rsidR="00DA5BD2" w:rsidRPr="006F0BA1" w:rsidRDefault="00DA5BD2" w:rsidP="00DA5BD2">
            <w:pPr>
              <w:pStyle w:val="Default"/>
              <w:numPr>
                <w:ilvl w:val="0"/>
                <w:numId w:val="35"/>
              </w:numPr>
              <w:ind w:left="1800" w:right="720"/>
              <w:jc w:val="both"/>
              <w:rPr>
                <w:rFonts w:ascii="Arial" w:hAnsi="Arial" w:cs="Arial"/>
              </w:rPr>
            </w:pPr>
            <w:r w:rsidRPr="006F0BA1">
              <w:rPr>
                <w:rFonts w:ascii="Arial" w:hAnsi="Arial" w:cs="Arial"/>
              </w:rPr>
              <w:t>The claimant’s activities of daily living;</w:t>
            </w:r>
          </w:p>
          <w:p w:rsidR="00DA5BD2" w:rsidRPr="006F0BA1" w:rsidRDefault="00DA5BD2" w:rsidP="00DA5BD2">
            <w:pPr>
              <w:pStyle w:val="Default"/>
              <w:ind w:right="720"/>
              <w:jc w:val="both"/>
              <w:rPr>
                <w:rFonts w:ascii="Arial" w:hAnsi="Arial" w:cs="Arial"/>
              </w:rPr>
            </w:pPr>
          </w:p>
          <w:p w:rsidR="00DA5BD2" w:rsidRPr="006F0BA1" w:rsidRDefault="00DA5BD2" w:rsidP="00DA5BD2">
            <w:pPr>
              <w:pStyle w:val="Default"/>
              <w:ind w:left="720" w:right="720"/>
              <w:jc w:val="both"/>
              <w:rPr>
                <w:rFonts w:ascii="Arial" w:hAnsi="Arial" w:cs="Arial"/>
              </w:rPr>
            </w:pPr>
            <w:r w:rsidRPr="006F0BA1">
              <w:rPr>
                <w:rFonts w:ascii="Arial" w:hAnsi="Arial" w:cs="Arial"/>
                <w:b/>
              </w:rPr>
              <w:t xml:space="preserve">“activities of daily living” </w:t>
            </w:r>
            <w:r w:rsidRPr="006F0BA1">
              <w:rPr>
                <w:rFonts w:ascii="Arial" w:hAnsi="Arial" w:cs="Arial"/>
              </w:rPr>
              <w:t>means the following activities:</w:t>
            </w:r>
          </w:p>
          <w:p w:rsidR="00DA5BD2" w:rsidRPr="006F0BA1" w:rsidRDefault="00DA5BD2" w:rsidP="00DA5BD2">
            <w:pPr>
              <w:pStyle w:val="Default"/>
              <w:numPr>
                <w:ilvl w:val="0"/>
                <w:numId w:val="36"/>
              </w:numPr>
              <w:ind w:right="720"/>
              <w:jc w:val="both"/>
              <w:rPr>
                <w:rFonts w:ascii="Arial" w:hAnsi="Arial" w:cs="Arial"/>
              </w:rPr>
            </w:pPr>
            <w:r w:rsidRPr="006F0BA1">
              <w:rPr>
                <w:rFonts w:ascii="Arial" w:hAnsi="Arial" w:cs="Arial"/>
              </w:rPr>
              <w:t>Preparing own meals;</w:t>
            </w:r>
          </w:p>
          <w:p w:rsidR="00DA5BD2" w:rsidRPr="006F0BA1" w:rsidRDefault="00DA5BD2" w:rsidP="00DA5BD2">
            <w:pPr>
              <w:pStyle w:val="Default"/>
              <w:numPr>
                <w:ilvl w:val="0"/>
                <w:numId w:val="36"/>
              </w:numPr>
              <w:ind w:right="720"/>
              <w:jc w:val="both"/>
              <w:rPr>
                <w:rFonts w:ascii="Arial" w:hAnsi="Arial" w:cs="Arial"/>
              </w:rPr>
            </w:pPr>
            <w:r w:rsidRPr="006F0BA1">
              <w:rPr>
                <w:rFonts w:ascii="Arial" w:hAnsi="Arial" w:cs="Arial"/>
              </w:rPr>
              <w:t>Managing personal finances;</w:t>
            </w:r>
          </w:p>
          <w:p w:rsidR="00DA5BD2" w:rsidRPr="006F0BA1" w:rsidRDefault="00DA5BD2" w:rsidP="00DA5BD2">
            <w:pPr>
              <w:pStyle w:val="Default"/>
              <w:numPr>
                <w:ilvl w:val="0"/>
                <w:numId w:val="36"/>
              </w:numPr>
              <w:ind w:right="720"/>
              <w:jc w:val="both"/>
              <w:rPr>
                <w:rFonts w:ascii="Arial" w:hAnsi="Arial" w:cs="Arial"/>
              </w:rPr>
            </w:pPr>
            <w:r w:rsidRPr="006F0BA1">
              <w:rPr>
                <w:rFonts w:ascii="Arial" w:hAnsi="Arial" w:cs="Arial"/>
              </w:rPr>
              <w:t>Shopping for personal needs;</w:t>
            </w:r>
          </w:p>
          <w:p w:rsidR="00DA5BD2" w:rsidRPr="006F0BA1" w:rsidRDefault="00DA5BD2" w:rsidP="00DA5BD2">
            <w:pPr>
              <w:pStyle w:val="Default"/>
              <w:numPr>
                <w:ilvl w:val="0"/>
                <w:numId w:val="36"/>
              </w:numPr>
              <w:ind w:right="720"/>
              <w:jc w:val="both"/>
              <w:rPr>
                <w:rFonts w:ascii="Arial" w:hAnsi="Arial" w:cs="Arial"/>
              </w:rPr>
            </w:pPr>
            <w:r w:rsidRPr="006F0BA1">
              <w:rPr>
                <w:rFonts w:ascii="Arial" w:hAnsi="Arial" w:cs="Arial"/>
              </w:rPr>
              <w:t>Using public or personal transportation;</w:t>
            </w:r>
          </w:p>
          <w:p w:rsidR="00DA5BD2" w:rsidRPr="006F0BA1" w:rsidRDefault="00DA5BD2" w:rsidP="00DA5BD2">
            <w:pPr>
              <w:pStyle w:val="Default"/>
              <w:numPr>
                <w:ilvl w:val="0"/>
                <w:numId w:val="36"/>
              </w:numPr>
              <w:ind w:right="720"/>
              <w:jc w:val="both"/>
              <w:rPr>
                <w:rFonts w:ascii="Arial" w:hAnsi="Arial" w:cs="Arial"/>
              </w:rPr>
            </w:pPr>
            <w:r w:rsidRPr="006F0BA1">
              <w:rPr>
                <w:rFonts w:ascii="Arial" w:hAnsi="Arial" w:cs="Arial"/>
              </w:rPr>
              <w:t>Performing housework to maintain a place of residence in acceptable sanitary condition;</w:t>
            </w:r>
          </w:p>
          <w:p w:rsidR="00DA5BD2" w:rsidRPr="006F0BA1" w:rsidRDefault="00DA5BD2" w:rsidP="00DA5BD2">
            <w:pPr>
              <w:pStyle w:val="Default"/>
              <w:numPr>
                <w:ilvl w:val="0"/>
                <w:numId w:val="36"/>
              </w:numPr>
              <w:ind w:right="720"/>
              <w:jc w:val="both"/>
              <w:rPr>
                <w:rFonts w:ascii="Arial" w:hAnsi="Arial" w:cs="Arial"/>
              </w:rPr>
            </w:pPr>
            <w:r w:rsidRPr="006F0BA1">
              <w:rPr>
                <w:rFonts w:ascii="Arial" w:hAnsi="Arial" w:cs="Arial"/>
              </w:rPr>
              <w:t>Performing personal hygiene and self-care;</w:t>
            </w:r>
          </w:p>
          <w:p w:rsidR="00DA5BD2" w:rsidRPr="006F0BA1" w:rsidRDefault="00DA5BD2" w:rsidP="00DA5BD2">
            <w:pPr>
              <w:pStyle w:val="Default"/>
              <w:numPr>
                <w:ilvl w:val="0"/>
                <w:numId w:val="36"/>
              </w:numPr>
              <w:ind w:right="720"/>
              <w:jc w:val="both"/>
              <w:rPr>
                <w:rFonts w:ascii="Arial" w:hAnsi="Arial" w:cs="Arial"/>
              </w:rPr>
            </w:pPr>
            <w:r w:rsidRPr="006F0BA1">
              <w:rPr>
                <w:rFonts w:ascii="Arial" w:hAnsi="Arial" w:cs="Arial"/>
              </w:rPr>
              <w:t xml:space="preserve">Managing personal medication; </w:t>
            </w:r>
          </w:p>
          <w:p w:rsidR="00DA5BD2" w:rsidRPr="006F0BA1" w:rsidRDefault="00DA5BD2" w:rsidP="00DA5BD2">
            <w:pPr>
              <w:pStyle w:val="Default"/>
              <w:ind w:right="720"/>
              <w:jc w:val="both"/>
              <w:rPr>
                <w:rFonts w:ascii="Arial" w:hAnsi="Arial" w:cs="Arial"/>
              </w:rPr>
            </w:pPr>
          </w:p>
          <w:p w:rsidR="00DA5BD2" w:rsidRPr="006F0BA1" w:rsidRDefault="00DA5BD2" w:rsidP="00DA5BD2">
            <w:pPr>
              <w:pStyle w:val="Default"/>
              <w:ind w:left="720" w:right="720"/>
              <w:jc w:val="both"/>
              <w:rPr>
                <w:rFonts w:ascii="Arial" w:hAnsi="Arial" w:cs="Arial"/>
              </w:rPr>
            </w:pPr>
            <w:r w:rsidRPr="006F0BA1">
              <w:rPr>
                <w:rFonts w:ascii="Arial" w:hAnsi="Arial" w:cs="Arial"/>
                <w:b/>
              </w:rPr>
              <w:t xml:space="preserve">“pain syndrome” </w:t>
            </w:r>
            <w:r w:rsidRPr="006F0BA1">
              <w:rPr>
                <w:rFonts w:ascii="Arial" w:hAnsi="Arial" w:cs="Arial"/>
              </w:rPr>
              <w:t>means a syndrome, disorder or other clinical condition associated with pain, including pain that is not resolved within 3 months;</w:t>
            </w:r>
          </w:p>
          <w:p w:rsidR="00DA5BD2" w:rsidRPr="006F0BA1" w:rsidRDefault="00DA5BD2" w:rsidP="00DA5BD2">
            <w:pPr>
              <w:pStyle w:val="Default"/>
              <w:ind w:left="720" w:right="720"/>
              <w:jc w:val="both"/>
              <w:rPr>
                <w:rFonts w:ascii="Arial" w:hAnsi="Arial" w:cs="Arial"/>
              </w:rPr>
            </w:pPr>
          </w:p>
          <w:p w:rsidR="00DA5BD2" w:rsidRPr="006F0BA1" w:rsidRDefault="00DA5BD2" w:rsidP="00DA5BD2">
            <w:pPr>
              <w:pStyle w:val="Default"/>
              <w:ind w:left="720" w:right="720"/>
              <w:jc w:val="both"/>
              <w:rPr>
                <w:rFonts w:ascii="Arial" w:hAnsi="Arial" w:cs="Arial"/>
              </w:rPr>
            </w:pPr>
            <w:r w:rsidRPr="006F0BA1">
              <w:rPr>
                <w:rFonts w:ascii="Arial" w:hAnsi="Arial" w:cs="Arial"/>
                <w:b/>
              </w:rPr>
              <w:t xml:space="preserve">“psychological or psychiatric condition” </w:t>
            </w:r>
            <w:r w:rsidRPr="006F0BA1">
              <w:rPr>
                <w:rFonts w:ascii="Arial" w:hAnsi="Arial" w:cs="Arial"/>
              </w:rPr>
              <w:t>means a clinical condition that</w:t>
            </w:r>
          </w:p>
          <w:p w:rsidR="00DA5BD2" w:rsidRPr="006F0BA1" w:rsidRDefault="00DA5BD2" w:rsidP="00DA5BD2">
            <w:pPr>
              <w:pStyle w:val="Default"/>
              <w:numPr>
                <w:ilvl w:val="0"/>
                <w:numId w:val="37"/>
              </w:numPr>
              <w:ind w:right="720"/>
              <w:jc w:val="both"/>
              <w:rPr>
                <w:rFonts w:ascii="Arial" w:hAnsi="Arial" w:cs="Arial"/>
              </w:rPr>
            </w:pPr>
            <w:r w:rsidRPr="006F0BA1">
              <w:rPr>
                <w:rFonts w:ascii="Arial" w:hAnsi="Arial" w:cs="Arial"/>
              </w:rPr>
              <w:t>Is of a psychological or psychiatric nature, and</w:t>
            </w:r>
          </w:p>
          <w:p w:rsidR="00DA5BD2" w:rsidRPr="006F0BA1" w:rsidRDefault="00DA5BD2" w:rsidP="00DA5BD2">
            <w:pPr>
              <w:pStyle w:val="Default"/>
              <w:numPr>
                <w:ilvl w:val="0"/>
                <w:numId w:val="37"/>
              </w:numPr>
              <w:ind w:right="720"/>
              <w:jc w:val="both"/>
              <w:rPr>
                <w:rFonts w:ascii="Arial" w:hAnsi="Arial" w:cs="Arial"/>
              </w:rPr>
            </w:pPr>
            <w:r w:rsidRPr="006F0BA1">
              <w:rPr>
                <w:rFonts w:ascii="Arial" w:hAnsi="Arial" w:cs="Arial"/>
              </w:rPr>
              <w:t>Does not result in an incapacity;</w:t>
            </w:r>
          </w:p>
          <w:p w:rsidR="00DA5BD2" w:rsidRPr="006F0BA1" w:rsidRDefault="00DA5BD2" w:rsidP="00DA5BD2">
            <w:pPr>
              <w:pStyle w:val="Default"/>
              <w:ind w:right="720"/>
              <w:jc w:val="both"/>
              <w:rPr>
                <w:rFonts w:ascii="Arial" w:hAnsi="Arial" w:cs="Arial"/>
              </w:rPr>
            </w:pPr>
          </w:p>
          <w:p w:rsidR="00DA5BD2" w:rsidRPr="006F0BA1" w:rsidRDefault="00DA5BD2" w:rsidP="00DA5BD2">
            <w:pPr>
              <w:pStyle w:val="Default"/>
              <w:ind w:left="810" w:right="720" w:hanging="90"/>
              <w:jc w:val="both"/>
              <w:rPr>
                <w:rFonts w:ascii="Arial" w:hAnsi="Arial" w:cs="Arial"/>
              </w:rPr>
            </w:pPr>
            <w:r w:rsidRPr="006F0BA1">
              <w:rPr>
                <w:rFonts w:ascii="Arial" w:hAnsi="Arial" w:cs="Arial"/>
                <w:b/>
              </w:rPr>
              <w:t xml:space="preserve">“sprain” </w:t>
            </w:r>
            <w:r w:rsidRPr="006F0BA1">
              <w:rPr>
                <w:rFonts w:ascii="Arial" w:hAnsi="Arial" w:cs="Arial"/>
              </w:rPr>
              <w:t xml:space="preserve">means an injury to one or more ligaments unless all the </w:t>
            </w:r>
            <w:proofErr w:type="spellStart"/>
            <w:r w:rsidRPr="006F0BA1">
              <w:rPr>
                <w:rFonts w:ascii="Arial" w:hAnsi="Arial" w:cs="Arial"/>
              </w:rPr>
              <w:t>fibres</w:t>
            </w:r>
            <w:proofErr w:type="spellEnd"/>
            <w:r w:rsidRPr="006F0BA1">
              <w:rPr>
                <w:rFonts w:ascii="Arial" w:hAnsi="Arial" w:cs="Arial"/>
              </w:rPr>
              <w:t xml:space="preserve"> of at least one of the injured ligaments are torn;</w:t>
            </w:r>
          </w:p>
          <w:p w:rsidR="00DA5BD2" w:rsidRPr="006F0BA1" w:rsidRDefault="00DA5BD2" w:rsidP="00DA5BD2">
            <w:pPr>
              <w:pStyle w:val="Default"/>
              <w:ind w:left="810" w:right="720" w:hanging="90"/>
              <w:jc w:val="both"/>
              <w:rPr>
                <w:rFonts w:ascii="Arial" w:hAnsi="Arial" w:cs="Arial"/>
              </w:rPr>
            </w:pPr>
          </w:p>
          <w:p w:rsidR="00DA5BD2" w:rsidRPr="006F0BA1" w:rsidRDefault="00DA5BD2" w:rsidP="00DA5BD2">
            <w:pPr>
              <w:pStyle w:val="Default"/>
              <w:ind w:left="810" w:right="720" w:hanging="90"/>
              <w:jc w:val="both"/>
              <w:rPr>
                <w:rFonts w:ascii="Arial" w:hAnsi="Arial" w:cs="Arial"/>
              </w:rPr>
            </w:pPr>
            <w:r w:rsidRPr="006F0BA1">
              <w:rPr>
                <w:rFonts w:ascii="Arial" w:hAnsi="Arial" w:cs="Arial"/>
                <w:b/>
              </w:rPr>
              <w:t xml:space="preserve">“strain” </w:t>
            </w:r>
            <w:r w:rsidRPr="006F0BA1">
              <w:rPr>
                <w:rFonts w:ascii="Arial" w:hAnsi="Arial" w:cs="Arial"/>
              </w:rPr>
              <w:t xml:space="preserve">means an injury to one or more muscles unless all the </w:t>
            </w:r>
            <w:proofErr w:type="spellStart"/>
            <w:r w:rsidRPr="006F0BA1">
              <w:rPr>
                <w:rFonts w:ascii="Arial" w:hAnsi="Arial" w:cs="Arial"/>
              </w:rPr>
              <w:t>fibres</w:t>
            </w:r>
            <w:proofErr w:type="spellEnd"/>
            <w:r w:rsidRPr="006F0BA1">
              <w:rPr>
                <w:rFonts w:ascii="Arial" w:hAnsi="Arial" w:cs="Arial"/>
              </w:rPr>
              <w:t xml:space="preserve"> of at least one of the injured muscles are torn; </w:t>
            </w:r>
          </w:p>
          <w:p w:rsidR="00DA5BD2" w:rsidRPr="006F0BA1" w:rsidRDefault="00DA5BD2" w:rsidP="00DA5BD2">
            <w:pPr>
              <w:pStyle w:val="Default"/>
              <w:ind w:left="1080" w:right="720"/>
              <w:jc w:val="both"/>
              <w:rPr>
                <w:rFonts w:ascii="Arial" w:hAnsi="Arial" w:cs="Arial"/>
              </w:rPr>
            </w:pPr>
          </w:p>
          <w:p w:rsidR="00DA5BD2" w:rsidRPr="006F0BA1" w:rsidRDefault="00DA5BD2" w:rsidP="00DA5BD2">
            <w:pPr>
              <w:pStyle w:val="Default"/>
              <w:numPr>
                <w:ilvl w:val="0"/>
                <w:numId w:val="33"/>
              </w:numPr>
              <w:jc w:val="both"/>
              <w:rPr>
                <w:rFonts w:ascii="Arial" w:hAnsi="Arial" w:cs="Arial"/>
              </w:rPr>
            </w:pPr>
            <w:r w:rsidRPr="006F0BA1">
              <w:rPr>
                <w:rFonts w:ascii="Arial" w:hAnsi="Arial" w:cs="Arial"/>
              </w:rPr>
              <w:t xml:space="preserve">Efforts must be made to accommodate an impairment and to continue employment, training/education, or activities daily living. Section 3 of the </w:t>
            </w:r>
            <w:r w:rsidRPr="006F0BA1">
              <w:rPr>
                <w:rFonts w:ascii="Arial" w:hAnsi="Arial" w:cs="Arial"/>
                <w:b/>
                <w:i/>
              </w:rPr>
              <w:t xml:space="preserve">Regulation </w:t>
            </w:r>
            <w:r w:rsidRPr="006F0BA1">
              <w:rPr>
                <w:rFonts w:ascii="Arial" w:hAnsi="Arial" w:cs="Arial"/>
              </w:rPr>
              <w:t>sets out the prescribed criteria for the definition of “serious impairment”:</w:t>
            </w:r>
          </w:p>
          <w:p w:rsidR="00DA5BD2" w:rsidRPr="006F0BA1" w:rsidRDefault="00DA5BD2" w:rsidP="00DA5BD2">
            <w:pPr>
              <w:pStyle w:val="Default"/>
              <w:ind w:left="360"/>
              <w:jc w:val="both"/>
              <w:rPr>
                <w:rFonts w:ascii="Arial" w:hAnsi="Arial" w:cs="Arial"/>
              </w:rPr>
            </w:pPr>
          </w:p>
          <w:p w:rsidR="00DA5BD2" w:rsidRPr="006F0BA1" w:rsidRDefault="00DA5BD2" w:rsidP="00DA5BD2">
            <w:pPr>
              <w:pStyle w:val="sec"/>
              <w:shd w:val="clear" w:color="auto" w:fill="FFFFFF"/>
              <w:spacing w:before="0" w:beforeAutospacing="0" w:after="0" w:afterAutospacing="0"/>
              <w:ind w:left="720" w:right="720"/>
              <w:jc w:val="both"/>
              <w:rPr>
                <w:rFonts w:ascii="Arial" w:hAnsi="Arial" w:cs="Arial"/>
                <w:color w:val="000000"/>
              </w:rPr>
            </w:pPr>
            <w:r w:rsidRPr="006F0BA1">
              <w:rPr>
                <w:rStyle w:val="secnumholder"/>
                <w:rFonts w:ascii="Arial" w:hAnsi="Arial" w:cs="Arial"/>
                <w:b/>
                <w:bCs/>
                <w:color w:val="000000"/>
              </w:rPr>
              <w:t>3</w:t>
            </w:r>
            <w:r w:rsidRPr="006F0BA1">
              <w:rPr>
                <w:rStyle w:val="secnumholder"/>
                <w:rFonts w:ascii="Arial" w:hAnsi="Arial" w:cs="Arial"/>
                <w:color w:val="000000"/>
              </w:rPr>
              <w:t>  </w:t>
            </w:r>
            <w:r w:rsidRPr="006F0BA1">
              <w:rPr>
                <w:rFonts w:ascii="Arial" w:hAnsi="Arial" w:cs="Arial"/>
                <w:color w:val="000000"/>
              </w:rPr>
              <w:t>For the purposes of paragraph (b) of the definition of "</w:t>
            </w:r>
            <w:r w:rsidRPr="006F0BA1">
              <w:rPr>
                <w:rFonts w:ascii="Arial" w:hAnsi="Arial" w:cs="Arial"/>
                <w:b/>
                <w:color w:val="000000"/>
              </w:rPr>
              <w:t>serious impairment</w:t>
            </w:r>
            <w:r w:rsidRPr="006F0BA1">
              <w:rPr>
                <w:rFonts w:ascii="Arial" w:hAnsi="Arial" w:cs="Arial"/>
                <w:color w:val="000000"/>
              </w:rPr>
              <w:t>" in section 101 (1) of the Act, the claimant's physical or mental impairment must meet the following prescribed criteria:</w:t>
            </w:r>
          </w:p>
          <w:p w:rsidR="00DA5BD2" w:rsidRPr="006F0BA1" w:rsidRDefault="00DA5BD2" w:rsidP="00DA5BD2">
            <w:pPr>
              <w:pStyle w:val="para"/>
              <w:shd w:val="clear" w:color="auto" w:fill="FFFFFF"/>
              <w:spacing w:before="0" w:beforeAutospacing="0" w:after="0" w:afterAutospacing="0"/>
              <w:ind w:left="1008" w:right="720"/>
              <w:jc w:val="both"/>
              <w:rPr>
                <w:rFonts w:ascii="Arial" w:hAnsi="Arial" w:cs="Arial"/>
                <w:color w:val="000000"/>
              </w:rPr>
            </w:pPr>
            <w:bookmarkStart w:id="31" w:name="d1e413"/>
            <w:bookmarkEnd w:id="31"/>
            <w:r w:rsidRPr="006F0BA1">
              <w:rPr>
                <w:rStyle w:val="holder"/>
                <w:rFonts w:ascii="Arial" w:hAnsi="Arial" w:cs="Arial"/>
                <w:color w:val="000000"/>
              </w:rPr>
              <w:t>(a)</w:t>
            </w:r>
            <w:r w:rsidRPr="006F0BA1">
              <w:rPr>
                <w:rFonts w:ascii="Arial" w:hAnsi="Arial" w:cs="Arial"/>
                <w:color w:val="000000"/>
              </w:rPr>
              <w:t>the impairment results in a substantial inability of the claimant to perform</w:t>
            </w:r>
          </w:p>
          <w:p w:rsidR="00DA5BD2" w:rsidRPr="006F0BA1" w:rsidRDefault="00DA5BD2" w:rsidP="00DA5BD2">
            <w:pPr>
              <w:pStyle w:val="subpara"/>
              <w:shd w:val="clear" w:color="auto" w:fill="FFFFFF"/>
              <w:spacing w:before="0" w:beforeAutospacing="0" w:after="0" w:afterAutospacing="0"/>
              <w:ind w:left="1890" w:right="720" w:hanging="306"/>
              <w:jc w:val="both"/>
              <w:rPr>
                <w:rFonts w:ascii="Arial" w:hAnsi="Arial" w:cs="Arial"/>
                <w:color w:val="000000"/>
              </w:rPr>
            </w:pPr>
            <w:bookmarkStart w:id="32" w:name="d1e421"/>
            <w:bookmarkEnd w:id="32"/>
            <w:r w:rsidRPr="006F0BA1">
              <w:rPr>
                <w:rStyle w:val="holder"/>
                <w:rFonts w:ascii="Arial" w:hAnsi="Arial" w:cs="Arial"/>
                <w:color w:val="000000"/>
              </w:rPr>
              <w:t>(</w:t>
            </w:r>
            <w:proofErr w:type="spellStart"/>
            <w:r w:rsidRPr="006F0BA1">
              <w:rPr>
                <w:rStyle w:val="holder"/>
                <w:rFonts w:ascii="Arial" w:hAnsi="Arial" w:cs="Arial"/>
                <w:color w:val="000000"/>
              </w:rPr>
              <w:t>i</w:t>
            </w:r>
            <w:proofErr w:type="spellEnd"/>
            <w:r w:rsidRPr="006F0BA1">
              <w:rPr>
                <w:rStyle w:val="holder"/>
                <w:rFonts w:ascii="Arial" w:hAnsi="Arial" w:cs="Arial"/>
                <w:color w:val="000000"/>
              </w:rPr>
              <w:t>)</w:t>
            </w:r>
            <w:r w:rsidRPr="006F0BA1">
              <w:rPr>
                <w:rFonts w:ascii="Arial" w:hAnsi="Arial" w:cs="Arial"/>
                <w:color w:val="000000"/>
              </w:rPr>
              <w:t>the essential tasks of the claimant's regular employment, occupation or profession, despite reasonable efforts to accommodate the claimant's impairment and the claimant's reasonable efforts to use the accommodation to allow the claimant to continue the claimant's employment, occupation or profession,</w:t>
            </w:r>
          </w:p>
          <w:p w:rsidR="00DA5BD2" w:rsidRPr="006F0BA1" w:rsidRDefault="00DA5BD2" w:rsidP="00DA5BD2">
            <w:pPr>
              <w:pStyle w:val="subpara"/>
              <w:shd w:val="clear" w:color="auto" w:fill="FFFFFF"/>
              <w:spacing w:before="0" w:beforeAutospacing="0" w:after="0" w:afterAutospacing="0"/>
              <w:ind w:left="1890" w:right="720" w:hanging="306"/>
              <w:jc w:val="both"/>
              <w:rPr>
                <w:rFonts w:ascii="Arial" w:hAnsi="Arial" w:cs="Arial"/>
                <w:color w:val="000000"/>
              </w:rPr>
            </w:pPr>
            <w:bookmarkStart w:id="33" w:name="d1e430"/>
            <w:bookmarkEnd w:id="33"/>
            <w:r w:rsidRPr="006F0BA1">
              <w:rPr>
                <w:rStyle w:val="holder"/>
                <w:rFonts w:ascii="Arial" w:hAnsi="Arial" w:cs="Arial"/>
                <w:color w:val="000000"/>
              </w:rPr>
              <w:t>(ii)</w:t>
            </w:r>
            <w:r w:rsidRPr="006F0BA1">
              <w:rPr>
                <w:rFonts w:ascii="Arial" w:hAnsi="Arial" w:cs="Arial"/>
                <w:color w:val="000000"/>
              </w:rPr>
              <w:t>the essential tasks of the claimant's training or education in a program or course that the claimant was enrolled in or had been accepted for enrolment in at the time of the accident, despite reasonable efforts to accommodate the claimant's impairment and the claimant's reasonable efforts to use the accommodation to allow the claimant to continue the claimant's training or education, or</w:t>
            </w:r>
          </w:p>
          <w:p w:rsidR="00DA5BD2" w:rsidRPr="006F0BA1" w:rsidRDefault="00DA5BD2" w:rsidP="00DA5BD2">
            <w:pPr>
              <w:pStyle w:val="subpara"/>
              <w:shd w:val="clear" w:color="auto" w:fill="FFFFFF"/>
              <w:spacing w:before="0" w:beforeAutospacing="0" w:after="0" w:afterAutospacing="0"/>
              <w:ind w:left="1584" w:right="720"/>
              <w:jc w:val="both"/>
              <w:rPr>
                <w:rFonts w:ascii="Arial" w:hAnsi="Arial" w:cs="Arial"/>
                <w:color w:val="000000"/>
              </w:rPr>
            </w:pPr>
            <w:bookmarkStart w:id="34" w:name="d1e439"/>
            <w:bookmarkEnd w:id="34"/>
            <w:r w:rsidRPr="006F0BA1">
              <w:rPr>
                <w:rStyle w:val="holder"/>
                <w:rFonts w:ascii="Arial" w:hAnsi="Arial" w:cs="Arial"/>
                <w:color w:val="000000"/>
              </w:rPr>
              <w:t>(iii)</w:t>
            </w:r>
            <w:r w:rsidRPr="006F0BA1">
              <w:rPr>
                <w:rFonts w:ascii="Arial" w:hAnsi="Arial" w:cs="Arial"/>
                <w:color w:val="000000"/>
              </w:rPr>
              <w:t>the claimant's activities of daily living;</w:t>
            </w:r>
          </w:p>
          <w:p w:rsidR="00DA5BD2" w:rsidRPr="006F0BA1" w:rsidRDefault="00DA5BD2" w:rsidP="00DA5BD2">
            <w:pPr>
              <w:pStyle w:val="para"/>
              <w:shd w:val="clear" w:color="auto" w:fill="FFFFFF"/>
              <w:spacing w:before="0" w:beforeAutospacing="0" w:after="0" w:afterAutospacing="0"/>
              <w:ind w:left="1008" w:right="720"/>
              <w:jc w:val="both"/>
              <w:rPr>
                <w:rFonts w:ascii="Arial" w:hAnsi="Arial" w:cs="Arial"/>
                <w:color w:val="000000"/>
              </w:rPr>
            </w:pPr>
            <w:bookmarkStart w:id="35" w:name="d1e449"/>
            <w:bookmarkEnd w:id="35"/>
            <w:r w:rsidRPr="006F0BA1">
              <w:rPr>
                <w:rStyle w:val="holder"/>
                <w:rFonts w:ascii="Arial" w:hAnsi="Arial" w:cs="Arial"/>
                <w:color w:val="000000"/>
              </w:rPr>
              <w:t>(b)</w:t>
            </w:r>
            <w:r w:rsidRPr="006F0BA1">
              <w:rPr>
                <w:rFonts w:ascii="Arial" w:hAnsi="Arial" w:cs="Arial"/>
                <w:color w:val="000000"/>
              </w:rPr>
              <w:t>the impairment is primarily caused by the accident and is ongoing since the accident;</w:t>
            </w:r>
          </w:p>
          <w:p w:rsidR="00DA5BD2" w:rsidRPr="006F0BA1" w:rsidRDefault="00DA5BD2" w:rsidP="00DA5BD2">
            <w:pPr>
              <w:pStyle w:val="para"/>
              <w:shd w:val="clear" w:color="auto" w:fill="FFFFFF"/>
              <w:spacing w:before="0" w:beforeAutospacing="0" w:after="0" w:afterAutospacing="0"/>
              <w:ind w:left="1008" w:right="720"/>
              <w:jc w:val="both"/>
              <w:rPr>
                <w:rFonts w:ascii="Arial" w:hAnsi="Arial" w:cs="Arial"/>
                <w:color w:val="000000"/>
              </w:rPr>
            </w:pPr>
            <w:bookmarkStart w:id="36" w:name="d1e459"/>
            <w:bookmarkEnd w:id="36"/>
            <w:r w:rsidRPr="006F0BA1">
              <w:rPr>
                <w:rStyle w:val="holder"/>
                <w:rFonts w:ascii="Arial" w:hAnsi="Arial" w:cs="Arial"/>
                <w:color w:val="000000"/>
              </w:rPr>
              <w:t>(c)</w:t>
            </w:r>
            <w:r w:rsidRPr="006F0BA1">
              <w:rPr>
                <w:rFonts w:ascii="Arial" w:hAnsi="Arial" w:cs="Arial"/>
                <w:color w:val="000000"/>
              </w:rPr>
              <w:t>the impairment is not expected to improve substantially.</w:t>
            </w:r>
          </w:p>
          <w:p w:rsidR="00DA5BD2" w:rsidRPr="006F0BA1" w:rsidRDefault="00DA5BD2" w:rsidP="00DA5BD2">
            <w:pPr>
              <w:pStyle w:val="para"/>
              <w:shd w:val="clear" w:color="auto" w:fill="FFFFFF"/>
              <w:spacing w:before="0" w:beforeAutospacing="0" w:after="0" w:afterAutospacing="0"/>
              <w:ind w:right="720"/>
              <w:jc w:val="both"/>
              <w:rPr>
                <w:rFonts w:ascii="Arial" w:hAnsi="Arial" w:cs="Arial"/>
                <w:color w:val="000000"/>
              </w:rPr>
            </w:pPr>
          </w:p>
          <w:p w:rsidR="00DA5BD2" w:rsidRPr="006F0BA1" w:rsidRDefault="00DA5BD2" w:rsidP="00DA5BD2">
            <w:pPr>
              <w:pStyle w:val="para"/>
              <w:numPr>
                <w:ilvl w:val="0"/>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Section 101(2)-(3) of the </w:t>
            </w:r>
            <w:r w:rsidRPr="006F0BA1">
              <w:rPr>
                <w:rFonts w:ascii="Arial" w:hAnsi="Arial" w:cs="Arial"/>
                <w:b/>
                <w:i/>
                <w:color w:val="000000"/>
              </w:rPr>
              <w:t>Insurance (Vehicle) Act</w:t>
            </w:r>
            <w:r w:rsidRPr="006F0BA1">
              <w:rPr>
                <w:rFonts w:ascii="Arial" w:hAnsi="Arial" w:cs="Arial"/>
                <w:color w:val="000000"/>
              </w:rPr>
              <w:t xml:space="preserve"> establishes that serious impairment caused by a failure to mitigate what was once a “minor injury” continues to be deemed a minor injury: </w:t>
            </w:r>
          </w:p>
          <w:p w:rsidR="00DA5BD2" w:rsidRPr="006F0BA1" w:rsidRDefault="00DA5BD2" w:rsidP="00DA5BD2">
            <w:pPr>
              <w:pStyle w:val="para"/>
              <w:shd w:val="clear" w:color="auto" w:fill="FFFFFF"/>
              <w:spacing w:before="0" w:beforeAutospacing="0" w:after="0" w:afterAutospacing="0"/>
              <w:ind w:left="360"/>
              <w:jc w:val="both"/>
              <w:rPr>
                <w:rFonts w:ascii="Arial" w:hAnsi="Arial" w:cs="Arial"/>
                <w:color w:val="000000"/>
              </w:rPr>
            </w:pPr>
          </w:p>
          <w:p w:rsidR="00DA5BD2" w:rsidRPr="006F0BA1" w:rsidRDefault="00DA5BD2" w:rsidP="00DA5BD2">
            <w:pPr>
              <w:pStyle w:val="sub"/>
              <w:shd w:val="clear" w:color="auto" w:fill="FFFFFF"/>
              <w:spacing w:before="0" w:beforeAutospacing="0" w:after="0" w:afterAutospacing="0"/>
              <w:ind w:left="1710" w:right="720" w:hanging="270"/>
              <w:jc w:val="both"/>
              <w:rPr>
                <w:rFonts w:ascii="Arial" w:hAnsi="Arial" w:cs="Arial"/>
                <w:color w:val="000000"/>
              </w:rPr>
            </w:pPr>
            <w:r w:rsidRPr="006F0BA1">
              <w:rPr>
                <w:rStyle w:val="holder"/>
                <w:rFonts w:ascii="Arial" w:hAnsi="Arial" w:cs="Arial"/>
                <w:color w:val="000000"/>
              </w:rPr>
              <w:t>(2)</w:t>
            </w:r>
            <w:r w:rsidRPr="006F0BA1">
              <w:rPr>
                <w:rFonts w:ascii="Arial" w:hAnsi="Arial" w:cs="Arial"/>
                <w:color w:val="000000"/>
              </w:rPr>
              <w:t>Subject to subsection (3) and the regulations, an injury that, at the time of the accident or when it first manifested, was an injury within the definition of "minor injury" in subsection (1) is deemed to be a minor injury if</w:t>
            </w:r>
          </w:p>
          <w:p w:rsidR="00DA5BD2" w:rsidRPr="006F0BA1" w:rsidRDefault="00DA5BD2" w:rsidP="00DA5BD2">
            <w:pPr>
              <w:pStyle w:val="para"/>
              <w:shd w:val="clear" w:color="auto" w:fill="FFFFFF"/>
              <w:spacing w:before="0" w:beforeAutospacing="0" w:after="0" w:afterAutospacing="0"/>
              <w:ind w:left="2430" w:right="720" w:hanging="270"/>
              <w:jc w:val="both"/>
              <w:rPr>
                <w:rFonts w:ascii="Arial" w:hAnsi="Arial" w:cs="Arial"/>
                <w:color w:val="000000"/>
              </w:rPr>
            </w:pPr>
            <w:bookmarkStart w:id="37" w:name="d1e8827"/>
            <w:bookmarkEnd w:id="37"/>
            <w:r w:rsidRPr="006F0BA1">
              <w:rPr>
                <w:rStyle w:val="holder"/>
                <w:rFonts w:ascii="Arial" w:hAnsi="Arial" w:cs="Arial"/>
                <w:color w:val="000000"/>
              </w:rPr>
              <w:t>(a)</w:t>
            </w:r>
            <w:r w:rsidRPr="006F0BA1">
              <w:rPr>
                <w:rFonts w:ascii="Arial" w:hAnsi="Arial" w:cs="Arial"/>
                <w:color w:val="000000"/>
              </w:rPr>
              <w:t>the claimant, without reasonable excuse, fails to seek a diagnosis or comply with treatment in accordance with a diagnostic and treatment protocol prescribed for the injury, and</w:t>
            </w:r>
          </w:p>
          <w:p w:rsidR="00DA5BD2" w:rsidRPr="006F0BA1" w:rsidRDefault="00DA5BD2" w:rsidP="00DA5BD2">
            <w:pPr>
              <w:pStyle w:val="para"/>
              <w:shd w:val="clear" w:color="auto" w:fill="FFFFFF"/>
              <w:spacing w:before="0" w:beforeAutospacing="0" w:after="0" w:afterAutospacing="0"/>
              <w:ind w:left="2430" w:right="720" w:hanging="270"/>
              <w:jc w:val="both"/>
              <w:rPr>
                <w:rFonts w:ascii="Arial" w:hAnsi="Arial" w:cs="Arial"/>
                <w:color w:val="000000"/>
              </w:rPr>
            </w:pPr>
            <w:bookmarkStart w:id="38" w:name="d1e8836"/>
            <w:bookmarkEnd w:id="38"/>
            <w:r w:rsidRPr="006F0BA1">
              <w:rPr>
                <w:rStyle w:val="holder"/>
                <w:rFonts w:ascii="Arial" w:hAnsi="Arial" w:cs="Arial"/>
                <w:color w:val="000000"/>
              </w:rPr>
              <w:t>(b)</w:t>
            </w:r>
            <w:r w:rsidRPr="006F0BA1">
              <w:rPr>
                <w:rFonts w:ascii="Arial" w:hAnsi="Arial" w:cs="Arial"/>
                <w:color w:val="000000"/>
              </w:rPr>
              <w:t>the injury</w:t>
            </w:r>
          </w:p>
          <w:p w:rsidR="00DA5BD2" w:rsidRPr="006F0BA1" w:rsidRDefault="00DA5BD2" w:rsidP="00DA5BD2">
            <w:pPr>
              <w:pStyle w:val="subpara"/>
              <w:shd w:val="clear" w:color="auto" w:fill="FFFFFF"/>
              <w:spacing w:before="0" w:beforeAutospacing="0" w:after="0" w:afterAutospacing="0"/>
              <w:ind w:left="3240" w:right="720" w:hanging="360"/>
              <w:jc w:val="both"/>
              <w:rPr>
                <w:rFonts w:ascii="Arial" w:hAnsi="Arial" w:cs="Arial"/>
                <w:color w:val="000000"/>
              </w:rPr>
            </w:pPr>
            <w:bookmarkStart w:id="39" w:name="d1e8844"/>
            <w:bookmarkEnd w:id="39"/>
            <w:r w:rsidRPr="006F0BA1">
              <w:rPr>
                <w:rStyle w:val="holder"/>
                <w:rFonts w:ascii="Arial" w:hAnsi="Arial" w:cs="Arial"/>
                <w:color w:val="000000"/>
              </w:rPr>
              <w:t>(</w:t>
            </w:r>
            <w:proofErr w:type="spellStart"/>
            <w:r w:rsidRPr="006F0BA1">
              <w:rPr>
                <w:rStyle w:val="holder"/>
                <w:rFonts w:ascii="Arial" w:hAnsi="Arial" w:cs="Arial"/>
                <w:color w:val="000000"/>
              </w:rPr>
              <w:t>i</w:t>
            </w:r>
            <w:proofErr w:type="spellEnd"/>
            <w:r w:rsidRPr="006F0BA1">
              <w:rPr>
                <w:rStyle w:val="holder"/>
                <w:rFonts w:ascii="Arial" w:hAnsi="Arial" w:cs="Arial"/>
                <w:color w:val="000000"/>
              </w:rPr>
              <w:t>)</w:t>
            </w:r>
            <w:r w:rsidRPr="006F0BA1">
              <w:rPr>
                <w:rFonts w:ascii="Arial" w:hAnsi="Arial" w:cs="Arial"/>
                <w:color w:val="000000"/>
              </w:rPr>
              <w:t>results in a serious impairment or a permanent serious disfigurement of the claimant, or</w:t>
            </w:r>
          </w:p>
          <w:p w:rsidR="00DA5BD2" w:rsidRPr="006F0BA1" w:rsidRDefault="00DA5BD2" w:rsidP="00DA5BD2">
            <w:pPr>
              <w:pStyle w:val="subpara"/>
              <w:shd w:val="clear" w:color="auto" w:fill="FFFFFF"/>
              <w:spacing w:before="0" w:beforeAutospacing="0" w:after="0" w:afterAutospacing="0"/>
              <w:ind w:left="3240" w:right="720" w:hanging="360"/>
              <w:jc w:val="both"/>
              <w:rPr>
                <w:rFonts w:ascii="Arial" w:hAnsi="Arial" w:cs="Arial"/>
                <w:color w:val="000000"/>
              </w:rPr>
            </w:pPr>
            <w:bookmarkStart w:id="40" w:name="d1e8853"/>
            <w:bookmarkEnd w:id="40"/>
            <w:r w:rsidRPr="006F0BA1">
              <w:rPr>
                <w:rStyle w:val="holder"/>
                <w:rFonts w:ascii="Arial" w:hAnsi="Arial" w:cs="Arial"/>
                <w:color w:val="000000"/>
              </w:rPr>
              <w:t>(ii)</w:t>
            </w:r>
            <w:r w:rsidRPr="006F0BA1">
              <w:rPr>
                <w:rFonts w:ascii="Arial" w:hAnsi="Arial" w:cs="Arial"/>
                <w:color w:val="000000"/>
              </w:rPr>
              <w:t>develops into an injury other than an injury within the definition of "minor injury" in subsection (1).</w:t>
            </w:r>
          </w:p>
          <w:p w:rsidR="00DA5BD2" w:rsidRPr="006F0BA1" w:rsidRDefault="00DA5BD2" w:rsidP="00DA5BD2">
            <w:pPr>
              <w:pStyle w:val="sub"/>
              <w:shd w:val="clear" w:color="auto" w:fill="FFFFFF"/>
              <w:spacing w:before="0" w:beforeAutospacing="0" w:after="0" w:afterAutospacing="0"/>
              <w:ind w:left="1800" w:right="720" w:hanging="360"/>
              <w:jc w:val="both"/>
              <w:rPr>
                <w:rFonts w:ascii="Arial" w:hAnsi="Arial" w:cs="Arial"/>
                <w:color w:val="000000"/>
              </w:rPr>
            </w:pPr>
            <w:bookmarkStart w:id="41" w:name="d1e8864"/>
            <w:bookmarkEnd w:id="41"/>
            <w:r w:rsidRPr="006F0BA1">
              <w:rPr>
                <w:rStyle w:val="holder"/>
                <w:rFonts w:ascii="Arial" w:hAnsi="Arial" w:cs="Arial"/>
                <w:color w:val="000000"/>
              </w:rPr>
              <w:t>(3)</w:t>
            </w:r>
            <w:r w:rsidRPr="006F0BA1">
              <w:rPr>
                <w:rFonts w:ascii="Arial" w:hAnsi="Arial" w:cs="Arial"/>
                <w:color w:val="000000"/>
              </w:rPr>
              <w:t>An injury is not deemed, under subsection (2), to be a minor injury if the claimant establishes that either of the circumstances referred to in subsection (2) (b) would have resulted even if the claimant had sought a diagnosis and complied with treatment in accordance with a diagnostic and treatment protocol prescribed for the injury.</w:t>
            </w:r>
          </w:p>
          <w:p w:rsidR="00DA5BD2" w:rsidRPr="006F0BA1" w:rsidRDefault="00DA5BD2" w:rsidP="00DA5BD2">
            <w:pPr>
              <w:pStyle w:val="sub"/>
              <w:shd w:val="clear" w:color="auto" w:fill="FFFFFF"/>
              <w:spacing w:before="0" w:beforeAutospacing="0" w:after="0" w:afterAutospacing="0"/>
              <w:ind w:left="1800" w:right="720" w:hanging="360"/>
              <w:jc w:val="both"/>
              <w:rPr>
                <w:rFonts w:ascii="Arial" w:hAnsi="Arial" w:cs="Arial"/>
                <w:color w:val="000000"/>
              </w:rPr>
            </w:pPr>
          </w:p>
          <w:p w:rsidR="00DA5BD2" w:rsidRPr="006F0BA1" w:rsidRDefault="00DA5BD2" w:rsidP="00DA5BD2">
            <w:pPr>
              <w:pStyle w:val="sub"/>
              <w:numPr>
                <w:ilvl w:val="0"/>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Section 5 of the </w:t>
            </w:r>
            <w:r w:rsidRPr="006F0BA1">
              <w:rPr>
                <w:rFonts w:ascii="Arial" w:hAnsi="Arial" w:cs="Arial"/>
                <w:b/>
                <w:i/>
                <w:color w:val="000000"/>
              </w:rPr>
              <w:t>Regulation</w:t>
            </w:r>
            <w:r w:rsidRPr="006F0BA1">
              <w:rPr>
                <w:rFonts w:ascii="Arial" w:hAnsi="Arial" w:cs="Arial"/>
                <w:i/>
                <w:color w:val="000000"/>
              </w:rPr>
              <w:t xml:space="preserve"> </w:t>
            </w:r>
            <w:r w:rsidRPr="006F0BA1">
              <w:rPr>
                <w:rFonts w:ascii="Arial" w:hAnsi="Arial" w:cs="Arial"/>
                <w:color w:val="000000"/>
              </w:rPr>
              <w:t xml:space="preserve">sets out that where a claimant sustains more than one injury in an accident, each injury is to be diagnosed separately as to whether the injury is a “minor injury”. If there are both minor injuries and non-minor injuries, the cap applies to the damages for the non-minor injuries. </w:t>
            </w:r>
          </w:p>
          <w:p w:rsidR="00DA5BD2" w:rsidRPr="006F0BA1" w:rsidRDefault="00DA5BD2" w:rsidP="00DA5BD2">
            <w:pPr>
              <w:pStyle w:val="sub"/>
              <w:shd w:val="clear" w:color="auto" w:fill="FFFFFF"/>
              <w:spacing w:before="0" w:beforeAutospacing="0" w:after="0" w:afterAutospacing="0"/>
              <w:ind w:left="360"/>
              <w:jc w:val="both"/>
              <w:rPr>
                <w:rFonts w:ascii="Arial" w:hAnsi="Arial" w:cs="Arial"/>
                <w:color w:val="000000"/>
              </w:rPr>
            </w:pPr>
          </w:p>
          <w:p w:rsidR="00DA5BD2" w:rsidRPr="006F0BA1" w:rsidRDefault="00DA5BD2" w:rsidP="00DA5BD2">
            <w:pPr>
              <w:pStyle w:val="sub"/>
              <w:numPr>
                <w:ilvl w:val="1"/>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For example, if a claimant sustains a broken leg and soft tissue injuries, the cap applies to the soft tissue injuries. The non-pecuniary damages for the broken leg will not be capped. </w:t>
            </w:r>
          </w:p>
          <w:p w:rsidR="00DA5BD2" w:rsidRPr="006F0BA1" w:rsidRDefault="00DA5BD2" w:rsidP="00DA5BD2">
            <w:pPr>
              <w:pStyle w:val="sub"/>
              <w:shd w:val="clear" w:color="auto" w:fill="FFFFFF"/>
              <w:spacing w:before="0" w:beforeAutospacing="0" w:after="0" w:afterAutospacing="0"/>
              <w:ind w:left="1440"/>
              <w:jc w:val="both"/>
              <w:rPr>
                <w:rFonts w:ascii="Arial" w:hAnsi="Arial" w:cs="Arial"/>
                <w:color w:val="000000"/>
              </w:rPr>
            </w:pPr>
          </w:p>
          <w:p w:rsidR="00DA5BD2" w:rsidRPr="006F0BA1" w:rsidRDefault="00DA5BD2" w:rsidP="00DA5BD2">
            <w:pPr>
              <w:pStyle w:val="sub"/>
              <w:numPr>
                <w:ilvl w:val="1"/>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Damages for non-pecuniary damages is limited to $5,500 for all of the minor injuries combined. </w:t>
            </w:r>
          </w:p>
          <w:p w:rsidR="00DA5BD2" w:rsidRPr="006F0BA1" w:rsidRDefault="00DA5BD2" w:rsidP="00DA5BD2">
            <w:pPr>
              <w:pStyle w:val="sub"/>
              <w:shd w:val="clear" w:color="auto" w:fill="FFFFFF"/>
              <w:spacing w:before="0" w:beforeAutospacing="0" w:after="0" w:afterAutospacing="0"/>
              <w:ind w:left="1440"/>
              <w:jc w:val="both"/>
              <w:rPr>
                <w:rFonts w:ascii="Arial" w:hAnsi="Arial" w:cs="Arial"/>
                <w:color w:val="000000"/>
              </w:rPr>
            </w:pPr>
          </w:p>
          <w:p w:rsidR="00DA5BD2" w:rsidRPr="006F0BA1" w:rsidRDefault="00DA5BD2" w:rsidP="00DA5BD2">
            <w:pPr>
              <w:pStyle w:val="sub"/>
              <w:numPr>
                <w:ilvl w:val="0"/>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Revisiting the question: What injuries fall under the definition of “minor injury”? </w:t>
            </w:r>
          </w:p>
          <w:p w:rsidR="00DA5BD2" w:rsidRPr="006F0BA1" w:rsidRDefault="00DA5BD2" w:rsidP="00DA5BD2">
            <w:pPr>
              <w:pStyle w:val="sub"/>
              <w:shd w:val="clear" w:color="auto" w:fill="FFFFFF"/>
              <w:spacing w:before="0" w:beforeAutospacing="0" w:after="0" w:afterAutospacing="0"/>
              <w:ind w:left="360"/>
              <w:jc w:val="both"/>
              <w:rPr>
                <w:rFonts w:ascii="Arial" w:hAnsi="Arial" w:cs="Arial"/>
                <w:color w:val="000000"/>
              </w:rPr>
            </w:pPr>
          </w:p>
          <w:p w:rsidR="00DA5BD2" w:rsidRPr="006F0BA1" w:rsidRDefault="00DA5BD2" w:rsidP="00DA5BD2">
            <w:pPr>
              <w:pStyle w:val="sub"/>
              <w:numPr>
                <w:ilvl w:val="1"/>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Is a concussion a “minor injury”?</w:t>
            </w:r>
          </w:p>
          <w:p w:rsidR="00DA5BD2" w:rsidRPr="006F0BA1" w:rsidRDefault="00DA5BD2" w:rsidP="00DA5BD2">
            <w:pPr>
              <w:pStyle w:val="sub"/>
              <w:shd w:val="clear" w:color="auto" w:fill="FFFFFF"/>
              <w:spacing w:before="0" w:beforeAutospacing="0" w:after="0" w:afterAutospacing="0"/>
              <w:ind w:left="360"/>
              <w:jc w:val="both"/>
              <w:rPr>
                <w:rFonts w:ascii="Arial" w:hAnsi="Arial" w:cs="Arial"/>
                <w:color w:val="FF0000"/>
              </w:rPr>
            </w:pPr>
          </w:p>
          <w:p w:rsidR="00DA5BD2" w:rsidRPr="006F0BA1" w:rsidRDefault="00DA5BD2" w:rsidP="00DA5BD2">
            <w:pPr>
              <w:pStyle w:val="sub"/>
              <w:numPr>
                <w:ilvl w:val="0"/>
                <w:numId w:val="33"/>
              </w:numPr>
              <w:shd w:val="clear" w:color="auto" w:fill="FFFFFF"/>
              <w:spacing w:before="0" w:beforeAutospacing="0" w:after="0" w:afterAutospacing="0"/>
              <w:jc w:val="both"/>
              <w:rPr>
                <w:rFonts w:ascii="Arial" w:hAnsi="Arial" w:cs="Arial"/>
              </w:rPr>
            </w:pPr>
            <w:r w:rsidRPr="006F0BA1">
              <w:rPr>
                <w:rFonts w:ascii="Arial" w:hAnsi="Arial" w:cs="Arial"/>
              </w:rPr>
              <w:t xml:space="preserve">The ICBC website sets out that where an injury continues to impact a claimant’s life for more than 12 months (i.e. unable to go to work or school, have to modify work hours/duties, or unable to care for self), the injury will no longer fall under the definition of “minor injury”. </w:t>
            </w:r>
          </w:p>
          <w:p w:rsidR="00DA5BD2" w:rsidRPr="006F0BA1" w:rsidRDefault="00DA5BD2" w:rsidP="00DA5BD2">
            <w:pPr>
              <w:pStyle w:val="sub"/>
              <w:shd w:val="clear" w:color="auto" w:fill="FFFFFF"/>
              <w:spacing w:before="0" w:beforeAutospacing="0" w:after="0" w:afterAutospacing="0"/>
              <w:ind w:left="360"/>
              <w:jc w:val="both"/>
              <w:rPr>
                <w:rFonts w:ascii="Arial" w:hAnsi="Arial" w:cs="Arial"/>
                <w:color w:val="000000"/>
              </w:rPr>
            </w:pPr>
          </w:p>
          <w:p w:rsidR="00DA5BD2" w:rsidRPr="006F0BA1" w:rsidRDefault="00DA5BD2" w:rsidP="00DA5BD2">
            <w:pPr>
              <w:pStyle w:val="sub"/>
              <w:numPr>
                <w:ilvl w:val="0"/>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Who determines whether a claimant’s injury is “minor”? The claimant’s physician. However, if the physician is unable to make a clear diagnosis, the claimant is not recovering as expected, or factors are present that complicate the claimant’s recovery from the injury, the physician must refer the claimant to a “registered care advisor”. The registered care advisor must then assess the claimant’s injury within 15 days and provide a report outlining the diagnosis or treatment of the claimant’s injury within 10 days.</w:t>
            </w:r>
          </w:p>
          <w:p w:rsidR="00DA5BD2" w:rsidRPr="006F0BA1" w:rsidRDefault="00DA5BD2" w:rsidP="00DA5BD2">
            <w:pPr>
              <w:pStyle w:val="ListParagraph"/>
              <w:rPr>
                <w:rFonts w:ascii="Arial" w:hAnsi="Arial" w:cs="Arial"/>
                <w:color w:val="000000"/>
              </w:rPr>
            </w:pPr>
          </w:p>
          <w:p w:rsidR="00DA5BD2" w:rsidRPr="006F0BA1" w:rsidRDefault="00DA5BD2" w:rsidP="00DA5BD2">
            <w:pPr>
              <w:pStyle w:val="sub"/>
              <w:numPr>
                <w:ilvl w:val="0"/>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If a dispute arises over what is or is not a minor injury, a claim may be brought through the Civil Resolution Tribunal (the “CRT”). Under section 133(1)(a) of the </w:t>
            </w:r>
            <w:r w:rsidRPr="006F0BA1">
              <w:rPr>
                <w:rFonts w:ascii="Arial" w:hAnsi="Arial" w:cs="Arial"/>
                <w:b/>
                <w:i/>
                <w:color w:val="000000"/>
              </w:rPr>
              <w:t xml:space="preserve">Civil Resolution Tribunal Act, </w:t>
            </w:r>
            <w:r w:rsidRPr="006F0BA1">
              <w:rPr>
                <w:rFonts w:ascii="Arial" w:hAnsi="Arial" w:cs="Arial"/>
                <w:b/>
                <w:color w:val="000000"/>
              </w:rPr>
              <w:t>SBC 2012, c 25</w:t>
            </w:r>
            <w:r w:rsidRPr="006F0BA1">
              <w:rPr>
                <w:rFonts w:ascii="Arial" w:hAnsi="Arial" w:cs="Arial"/>
                <w:color w:val="000000"/>
              </w:rPr>
              <w:t xml:space="preserve">, the CRT has jurisdiction in determining whether an injury is a “minor injury” for the purposes of the </w:t>
            </w:r>
            <w:r w:rsidRPr="006F0BA1">
              <w:rPr>
                <w:rFonts w:ascii="Arial" w:hAnsi="Arial" w:cs="Arial"/>
                <w:b/>
                <w:i/>
                <w:color w:val="000000"/>
              </w:rPr>
              <w:t>Act</w:t>
            </w:r>
            <w:r w:rsidRPr="006F0BA1">
              <w:rPr>
                <w:rFonts w:ascii="Arial" w:hAnsi="Arial" w:cs="Arial"/>
                <w:color w:val="000000"/>
              </w:rPr>
              <w:t xml:space="preserve">. </w:t>
            </w:r>
          </w:p>
          <w:p w:rsidR="00DA5BD2" w:rsidRPr="006F0BA1" w:rsidRDefault="00DA5BD2" w:rsidP="00DA5BD2">
            <w:pPr>
              <w:pStyle w:val="ListParagraph"/>
              <w:rPr>
                <w:rFonts w:ascii="Arial" w:hAnsi="Arial" w:cs="Arial"/>
                <w:color w:val="000000"/>
              </w:rPr>
            </w:pPr>
          </w:p>
          <w:p w:rsidR="00DA5BD2" w:rsidRPr="006F0BA1" w:rsidRDefault="00DA5BD2" w:rsidP="00DA5BD2">
            <w:pPr>
              <w:pStyle w:val="sub"/>
              <w:numPr>
                <w:ilvl w:val="0"/>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Who has the burden of proving that an injury is or is not “minor”? </w:t>
            </w:r>
          </w:p>
          <w:p w:rsidR="00DA5BD2" w:rsidRPr="006F0BA1" w:rsidRDefault="00DA5BD2" w:rsidP="00DA5BD2">
            <w:pPr>
              <w:pStyle w:val="ListParagraph"/>
              <w:rPr>
                <w:rFonts w:ascii="Arial" w:hAnsi="Arial" w:cs="Arial"/>
                <w:color w:val="000000"/>
              </w:rPr>
            </w:pPr>
          </w:p>
          <w:p w:rsidR="00DA5BD2" w:rsidRPr="006F0BA1" w:rsidRDefault="00DA5BD2" w:rsidP="00DA5BD2">
            <w:pPr>
              <w:pStyle w:val="sub"/>
              <w:numPr>
                <w:ilvl w:val="1"/>
                <w:numId w:val="33"/>
              </w:numPr>
              <w:shd w:val="clear" w:color="auto" w:fill="FFFFFF"/>
              <w:spacing w:before="0" w:beforeAutospacing="0" w:after="0" w:afterAutospacing="0"/>
              <w:jc w:val="both"/>
              <w:rPr>
                <w:rFonts w:ascii="Arial" w:hAnsi="Arial" w:cs="Arial"/>
                <w:color w:val="000000"/>
              </w:rPr>
            </w:pPr>
            <w:r w:rsidRPr="006F0BA1">
              <w:rPr>
                <w:rFonts w:ascii="Arial" w:hAnsi="Arial" w:cs="Arial"/>
                <w:color w:val="000000"/>
              </w:rPr>
              <w:t xml:space="preserve">Section 4 of the </w:t>
            </w:r>
            <w:r w:rsidRPr="006F0BA1">
              <w:rPr>
                <w:rFonts w:ascii="Arial" w:hAnsi="Arial" w:cs="Arial"/>
                <w:b/>
                <w:i/>
                <w:color w:val="000000"/>
              </w:rPr>
              <w:t>Regulation</w:t>
            </w:r>
            <w:r w:rsidRPr="006F0BA1">
              <w:rPr>
                <w:rFonts w:ascii="Arial" w:hAnsi="Arial" w:cs="Arial"/>
                <w:color w:val="000000"/>
              </w:rPr>
              <w:t>: “In civil proceedings relating to an injury, the burden of proof that the injury is not a minor injury is on the party making the allegation that it is not a minor injury.”</w:t>
            </w:r>
          </w:p>
          <w:p w:rsidR="00DA5BD2" w:rsidRPr="0099340E" w:rsidRDefault="00DA5BD2" w:rsidP="00DA5BD2">
            <w:pPr>
              <w:pStyle w:val="para"/>
              <w:shd w:val="clear" w:color="auto" w:fill="FFFFFF"/>
              <w:spacing w:before="0" w:beforeAutospacing="0" w:after="0" w:afterAutospacing="0"/>
              <w:ind w:left="360"/>
              <w:jc w:val="both"/>
              <w:rPr>
                <w:rFonts w:ascii="Arial" w:hAnsi="Arial" w:cs="Arial"/>
                <w:color w:val="000000"/>
                <w:sz w:val="22"/>
                <w:szCs w:val="22"/>
              </w:rPr>
            </w:pPr>
          </w:p>
          <w:p w:rsidR="007D6573" w:rsidRPr="00C25F6C" w:rsidRDefault="007D6573" w:rsidP="007D6573">
            <w:pPr>
              <w:pStyle w:val="Default"/>
              <w:numPr>
                <w:ilvl w:val="1"/>
                <w:numId w:val="1"/>
              </w:numPr>
              <w:spacing w:after="240"/>
              <w:ind w:left="806" w:hanging="806"/>
              <w:jc w:val="both"/>
              <w:rPr>
                <w:rFonts w:ascii="Arial" w:hAnsi="Arial" w:cs="Arial"/>
                <w:b/>
              </w:rPr>
            </w:pPr>
            <w:r>
              <w:rPr>
                <w:rFonts w:ascii="Arial" w:hAnsi="Arial" w:cs="Arial"/>
                <w:b/>
              </w:rPr>
              <w:t>THE NEW FRONTIER: “NO FAULT”</w:t>
            </w:r>
          </w:p>
          <w:p w:rsidR="003F4126" w:rsidRDefault="00997F39" w:rsidP="00997F39">
            <w:pPr>
              <w:pStyle w:val="ListParagraph"/>
              <w:numPr>
                <w:ilvl w:val="0"/>
                <w:numId w:val="39"/>
              </w:numPr>
              <w:spacing w:after="240"/>
              <w:contextualSpacing w:val="0"/>
              <w:jc w:val="both"/>
              <w:rPr>
                <w:rFonts w:ascii="Arial" w:eastAsia="Times New Roman" w:hAnsi="Arial" w:cs="Arial"/>
                <w:lang w:val="en-CA" w:eastAsia="en-CA"/>
              </w:rPr>
            </w:pPr>
            <w:r>
              <w:rPr>
                <w:rFonts w:ascii="Arial" w:eastAsia="Times New Roman" w:hAnsi="Arial" w:cs="Arial"/>
                <w:lang w:val="en-CA" w:eastAsia="en-CA"/>
              </w:rPr>
              <w:t xml:space="preserve">On February 6, 2020, AG David </w:t>
            </w:r>
            <w:proofErr w:type="spellStart"/>
            <w:r>
              <w:rPr>
                <w:rFonts w:ascii="Arial" w:eastAsia="Times New Roman" w:hAnsi="Arial" w:cs="Arial"/>
                <w:lang w:val="en-CA" w:eastAsia="en-CA"/>
              </w:rPr>
              <w:t>Eby</w:t>
            </w:r>
            <w:proofErr w:type="spellEnd"/>
            <w:r>
              <w:rPr>
                <w:rFonts w:ascii="Arial" w:eastAsia="Times New Roman" w:hAnsi="Arial" w:cs="Arial"/>
                <w:lang w:val="en-CA" w:eastAsia="en-CA"/>
              </w:rPr>
              <w:t xml:space="preserve"> announced that the NDP government would be moving to an entirely new “no fault” system of automobile insurance, by May 2021.</w:t>
            </w:r>
          </w:p>
          <w:p w:rsidR="009B4E79" w:rsidRDefault="009B4E79" w:rsidP="009B4E79">
            <w:pPr>
              <w:pStyle w:val="ListParagraph"/>
              <w:numPr>
                <w:ilvl w:val="0"/>
                <w:numId w:val="39"/>
              </w:numPr>
              <w:jc w:val="both"/>
              <w:rPr>
                <w:rFonts w:ascii="Arial" w:eastAsia="Times New Roman" w:hAnsi="Arial" w:cs="Arial"/>
                <w:lang w:val="en-CA" w:eastAsia="en-CA"/>
              </w:rPr>
            </w:pPr>
            <w:r>
              <w:rPr>
                <w:rFonts w:ascii="Arial" w:eastAsia="Times New Roman" w:hAnsi="Arial" w:cs="Arial"/>
                <w:lang w:val="en-CA" w:eastAsia="en-CA"/>
              </w:rPr>
              <w:t xml:space="preserve">From ICBC’s website: </w:t>
            </w:r>
          </w:p>
          <w:p w:rsidR="009B4E79" w:rsidRDefault="009B4E79" w:rsidP="009B4E79">
            <w:pPr>
              <w:pStyle w:val="ListParagraph"/>
              <w:jc w:val="both"/>
              <w:rPr>
                <w:rFonts w:ascii="Arial" w:eastAsia="Times New Roman" w:hAnsi="Arial" w:cs="Arial"/>
                <w:lang w:val="en-CA" w:eastAsia="en-CA"/>
              </w:rPr>
            </w:pPr>
          </w:p>
          <w:p w:rsidR="009B4E79" w:rsidRPr="009B4E79" w:rsidRDefault="009B4E79" w:rsidP="009B4E79">
            <w:pPr>
              <w:shd w:val="clear" w:color="auto" w:fill="FFFFFF"/>
              <w:ind w:left="1152" w:right="605"/>
              <w:jc w:val="both"/>
              <w:rPr>
                <w:rFonts w:ascii="Arial" w:eastAsia="Times New Roman" w:hAnsi="Arial" w:cs="Arial"/>
                <w:color w:val="365F91" w:themeColor="accent1" w:themeShade="BF"/>
              </w:rPr>
            </w:pPr>
            <w:r w:rsidRPr="009B4E79">
              <w:rPr>
                <w:rFonts w:ascii="Arial" w:eastAsia="Times New Roman" w:hAnsi="Arial" w:cs="Arial"/>
                <w:color w:val="365F91" w:themeColor="accent1" w:themeShade="BF"/>
              </w:rPr>
              <w:t>The B.C. government and ICBC are creating a new way of doing auto insurance.</w:t>
            </w:r>
          </w:p>
          <w:p w:rsidR="009B4E79" w:rsidRPr="009B4E79" w:rsidRDefault="009B4E79" w:rsidP="009B4E79">
            <w:pPr>
              <w:shd w:val="clear" w:color="auto" w:fill="FFFFFF"/>
              <w:spacing w:before="100" w:beforeAutospacing="1" w:after="100" w:afterAutospacing="1"/>
              <w:ind w:left="1150" w:right="610"/>
              <w:jc w:val="both"/>
              <w:rPr>
                <w:rFonts w:ascii="Arial" w:eastAsia="Times New Roman" w:hAnsi="Arial" w:cs="Arial"/>
                <w:color w:val="365F91" w:themeColor="accent1" w:themeShade="BF"/>
              </w:rPr>
            </w:pPr>
            <w:r w:rsidRPr="009B4E79">
              <w:rPr>
                <w:rFonts w:ascii="Arial" w:eastAsia="Times New Roman" w:hAnsi="Arial" w:cs="Arial"/>
                <w:color w:val="365F91" w:themeColor="accent1" w:themeShade="BF"/>
              </w:rPr>
              <w:t>Coming May 2021*, </w:t>
            </w:r>
            <w:r w:rsidRPr="009B4E79">
              <w:rPr>
                <w:rFonts w:ascii="Arial" w:eastAsia="Times New Roman" w:hAnsi="Arial" w:cs="Arial"/>
                <w:b/>
                <w:bCs/>
                <w:color w:val="365F91" w:themeColor="accent1" w:themeShade="BF"/>
              </w:rPr>
              <w:t>Enhanced Care</w:t>
            </w:r>
            <w:r w:rsidRPr="009B4E79">
              <w:rPr>
                <w:rFonts w:ascii="Arial" w:eastAsia="Times New Roman" w:hAnsi="Arial" w:cs="Arial"/>
                <w:color w:val="365F91" w:themeColor="accent1" w:themeShade="BF"/>
              </w:rPr>
              <w:t> </w:t>
            </w:r>
            <w:r w:rsidRPr="009B4E79">
              <w:rPr>
                <w:rFonts w:ascii="Arial" w:eastAsia="Times New Roman" w:hAnsi="Arial" w:cs="Arial"/>
                <w:b/>
                <w:bCs/>
                <w:color w:val="365F91" w:themeColor="accent1" w:themeShade="BF"/>
              </w:rPr>
              <w:t>coverage</w:t>
            </w:r>
            <w:r w:rsidRPr="009B4E79">
              <w:rPr>
                <w:rFonts w:ascii="Arial" w:eastAsia="Times New Roman" w:hAnsi="Arial" w:cs="Arial"/>
                <w:color w:val="365F91" w:themeColor="accent1" w:themeShade="BF"/>
              </w:rPr>
              <w:t> will:</w:t>
            </w:r>
          </w:p>
          <w:p w:rsidR="009B4E79" w:rsidRPr="009B4E79" w:rsidRDefault="009B4E79" w:rsidP="009B4E79">
            <w:pPr>
              <w:numPr>
                <w:ilvl w:val="0"/>
                <w:numId w:val="40"/>
              </w:numPr>
              <w:shd w:val="clear" w:color="auto" w:fill="FFFFFF"/>
              <w:spacing w:before="100" w:beforeAutospacing="1" w:after="240"/>
              <w:ind w:left="1512" w:right="605"/>
              <w:jc w:val="both"/>
              <w:rPr>
                <w:rFonts w:ascii="Arial" w:eastAsia="Times New Roman" w:hAnsi="Arial" w:cs="Arial"/>
                <w:color w:val="365F91" w:themeColor="accent1" w:themeShade="BF"/>
              </w:rPr>
            </w:pPr>
            <w:r w:rsidRPr="009B4E79">
              <w:rPr>
                <w:rFonts w:ascii="Arial" w:eastAsia="Times New Roman" w:hAnsi="Arial" w:cs="Arial"/>
                <w:color w:val="365F91" w:themeColor="accent1" w:themeShade="BF"/>
              </w:rPr>
              <w:t>Save drivers approximately 20 per cent or $400, on average, on their auto insurance</w:t>
            </w:r>
          </w:p>
          <w:p w:rsidR="009B4E79" w:rsidRPr="009B4E79" w:rsidRDefault="009B4E79" w:rsidP="009B4E79">
            <w:pPr>
              <w:numPr>
                <w:ilvl w:val="0"/>
                <w:numId w:val="40"/>
              </w:numPr>
              <w:shd w:val="clear" w:color="auto" w:fill="FFFFFF"/>
              <w:spacing w:before="100" w:beforeAutospacing="1" w:after="100" w:afterAutospacing="1"/>
              <w:ind w:left="1510" w:right="610"/>
              <w:jc w:val="both"/>
              <w:rPr>
                <w:rFonts w:ascii="Arial" w:eastAsia="Times New Roman" w:hAnsi="Arial" w:cs="Arial"/>
                <w:color w:val="365F91" w:themeColor="accent1" w:themeShade="BF"/>
              </w:rPr>
            </w:pPr>
            <w:r w:rsidRPr="009B4E79">
              <w:rPr>
                <w:rFonts w:ascii="Arial" w:eastAsia="Times New Roman" w:hAnsi="Arial" w:cs="Arial"/>
                <w:color w:val="365F91" w:themeColor="accent1" w:themeShade="BF"/>
              </w:rPr>
              <w:t xml:space="preserve">Give all British Columbians access to significantly enhanced medical care, recovery and wage loss benefits if they’re hurt in a crash, </w:t>
            </w:r>
            <w:r w:rsidRPr="009B4E79">
              <w:rPr>
                <w:rFonts w:ascii="Arial" w:eastAsia="Times New Roman" w:hAnsi="Arial" w:cs="Arial"/>
                <w:b/>
                <w:color w:val="365F91" w:themeColor="accent1" w:themeShade="BF"/>
              </w:rPr>
              <w:t>regardless of who was responsible</w:t>
            </w:r>
          </w:p>
          <w:p w:rsidR="009B4E79" w:rsidRPr="009B4E79" w:rsidRDefault="009B4E79" w:rsidP="009B4E79">
            <w:pPr>
              <w:shd w:val="clear" w:color="auto" w:fill="FFFFFF"/>
              <w:spacing w:before="100" w:beforeAutospacing="1" w:after="100" w:afterAutospacing="1"/>
              <w:ind w:left="1150" w:right="610"/>
              <w:jc w:val="both"/>
              <w:rPr>
                <w:rFonts w:ascii="Arial" w:eastAsia="Times New Roman" w:hAnsi="Arial" w:cs="Arial"/>
                <w:color w:val="365F91" w:themeColor="accent1" w:themeShade="BF"/>
              </w:rPr>
            </w:pPr>
            <w:r w:rsidRPr="009B4E79">
              <w:rPr>
                <w:rFonts w:ascii="Arial" w:eastAsia="Times New Roman" w:hAnsi="Arial" w:cs="Arial"/>
                <w:color w:val="365F91" w:themeColor="accent1" w:themeShade="BF"/>
              </w:rPr>
              <w:t xml:space="preserve">How is this possible? With Enhanced Care coverage, the costs associated with our litigation-based system, like those for </w:t>
            </w:r>
            <w:r w:rsidRPr="009B4E79">
              <w:rPr>
                <w:rFonts w:ascii="Arial" w:eastAsia="Times New Roman" w:hAnsi="Arial" w:cs="Arial"/>
                <w:b/>
                <w:color w:val="365F91" w:themeColor="accent1" w:themeShade="BF"/>
              </w:rPr>
              <w:t>expensive lawyers</w:t>
            </w:r>
            <w:r w:rsidRPr="009B4E79">
              <w:rPr>
                <w:rFonts w:ascii="Arial" w:eastAsia="Times New Roman" w:hAnsi="Arial" w:cs="Arial"/>
                <w:color w:val="365F91" w:themeColor="accent1" w:themeShade="BF"/>
              </w:rPr>
              <w:t xml:space="preserve"> and legal fees, are largely removed – and those savings will go toward lowering your rates and dramatically improving your benefits. </w:t>
            </w:r>
            <w:r w:rsidRPr="009B4E79">
              <w:rPr>
                <w:rFonts w:ascii="Arial" w:eastAsia="Times New Roman" w:hAnsi="Arial" w:cs="Arial"/>
                <w:b/>
                <w:color w:val="365F91" w:themeColor="accent1" w:themeShade="BF"/>
              </w:rPr>
              <w:t>You can have peace of mind knowing you’ll always get the care you need if you’re injured in a crash</w:t>
            </w:r>
            <w:r w:rsidRPr="009B4E79">
              <w:rPr>
                <w:rFonts w:ascii="Arial" w:eastAsia="Times New Roman" w:hAnsi="Arial" w:cs="Arial"/>
                <w:color w:val="365F91" w:themeColor="accent1" w:themeShade="BF"/>
              </w:rPr>
              <w:t>.</w:t>
            </w:r>
          </w:p>
          <w:p w:rsidR="009B4E79" w:rsidRDefault="009B4E79" w:rsidP="009B4E79">
            <w:pPr>
              <w:pStyle w:val="ListParagraph"/>
              <w:numPr>
                <w:ilvl w:val="0"/>
                <w:numId w:val="41"/>
              </w:numPr>
              <w:spacing w:after="240"/>
              <w:ind w:left="706"/>
              <w:contextualSpacing w:val="0"/>
              <w:jc w:val="both"/>
              <w:rPr>
                <w:rFonts w:ascii="Arial" w:eastAsia="Times New Roman" w:hAnsi="Arial" w:cs="Arial"/>
                <w:lang w:val="en-CA" w:eastAsia="en-CA"/>
              </w:rPr>
            </w:pPr>
            <w:r>
              <w:rPr>
                <w:rFonts w:ascii="Arial" w:eastAsia="Times New Roman" w:hAnsi="Arial" w:cs="Arial"/>
                <w:lang w:val="en-CA" w:eastAsia="en-CA"/>
              </w:rPr>
              <w:t xml:space="preserve">Does this sound too good to be true?  </w:t>
            </w:r>
          </w:p>
          <w:p w:rsidR="009B4E79" w:rsidRDefault="009B4E79" w:rsidP="009B4E79">
            <w:pPr>
              <w:pStyle w:val="ListParagraph"/>
              <w:numPr>
                <w:ilvl w:val="0"/>
                <w:numId w:val="41"/>
              </w:numPr>
              <w:spacing w:after="240"/>
              <w:ind w:left="706"/>
              <w:contextualSpacing w:val="0"/>
              <w:jc w:val="both"/>
              <w:rPr>
                <w:rFonts w:ascii="Arial" w:eastAsia="Times New Roman" w:hAnsi="Arial" w:cs="Arial"/>
                <w:lang w:val="en-CA" w:eastAsia="en-CA"/>
              </w:rPr>
            </w:pPr>
            <w:r>
              <w:rPr>
                <w:rFonts w:ascii="Arial" w:eastAsia="Times New Roman" w:hAnsi="Arial" w:cs="Arial"/>
                <w:lang w:val="en-CA" w:eastAsia="en-CA"/>
              </w:rPr>
              <w:t xml:space="preserve">Why have “expensive” lawyers had been involved until now?  Because ICBC has not offered fair compensation to injured claimants in the past.  </w:t>
            </w:r>
          </w:p>
          <w:p w:rsidR="00026D20" w:rsidRDefault="002F1900" w:rsidP="00026D20">
            <w:pPr>
              <w:pStyle w:val="ListParagraph"/>
              <w:numPr>
                <w:ilvl w:val="0"/>
                <w:numId w:val="41"/>
              </w:numPr>
              <w:ind w:left="700"/>
              <w:jc w:val="both"/>
              <w:rPr>
                <w:rFonts w:ascii="Arial" w:eastAsia="Times New Roman" w:hAnsi="Arial" w:cs="Arial"/>
                <w:lang w:val="en-CA" w:eastAsia="en-CA"/>
              </w:rPr>
            </w:pPr>
            <w:r>
              <w:rPr>
                <w:rFonts w:ascii="Arial" w:eastAsia="Times New Roman" w:hAnsi="Arial" w:cs="Arial"/>
                <w:lang w:val="en-CA" w:eastAsia="en-CA"/>
              </w:rPr>
              <w:t>Does the rhetoric from the NDP</w:t>
            </w:r>
            <w:r w:rsidR="00026D20">
              <w:rPr>
                <w:rFonts w:ascii="Arial" w:eastAsia="Times New Roman" w:hAnsi="Arial" w:cs="Arial"/>
                <w:lang w:val="en-CA" w:eastAsia="en-CA"/>
              </w:rPr>
              <w:t xml:space="preserve"> bring lawyers into disrepute in the eyes of our community?  What are the repercussions of the insinuation that lawyers are (a) unnecessary, and (b) too expensive?  </w:t>
            </w:r>
          </w:p>
          <w:p w:rsidR="0065327E" w:rsidRDefault="0065327E" w:rsidP="0065327E">
            <w:pPr>
              <w:pStyle w:val="ListParagraph"/>
              <w:ind w:left="700"/>
              <w:jc w:val="both"/>
              <w:rPr>
                <w:rFonts w:ascii="Arial" w:eastAsia="Times New Roman" w:hAnsi="Arial" w:cs="Arial"/>
                <w:lang w:val="en-CA" w:eastAsia="en-CA"/>
              </w:rPr>
            </w:pPr>
          </w:p>
          <w:p w:rsidR="00FC15EA" w:rsidRPr="00FC15EA" w:rsidRDefault="0065327E" w:rsidP="00FC15EA">
            <w:pPr>
              <w:pStyle w:val="ListParagraph"/>
              <w:numPr>
                <w:ilvl w:val="0"/>
                <w:numId w:val="41"/>
              </w:numPr>
              <w:ind w:left="700"/>
              <w:rPr>
                <w:rFonts w:ascii="Arial" w:eastAsia="Times New Roman" w:hAnsi="Arial" w:cs="Arial"/>
                <w:lang w:val="en-CA" w:eastAsia="en-CA"/>
              </w:rPr>
            </w:pPr>
            <w:r w:rsidRPr="00FC15EA">
              <w:rPr>
                <w:rFonts w:ascii="Arial" w:eastAsia="Times New Roman" w:hAnsi="Arial" w:cs="Arial"/>
                <w:lang w:val="en-CA" w:eastAsia="en-CA"/>
              </w:rPr>
              <w:t xml:space="preserve">The NDP were elected on a platform promise </w:t>
            </w:r>
            <w:r w:rsidRPr="00FC15EA">
              <w:rPr>
                <w:rFonts w:ascii="Arial" w:eastAsia="Times New Roman" w:hAnsi="Arial" w:cs="Arial"/>
                <w:u w:val="single"/>
                <w:lang w:val="en-CA" w:eastAsia="en-CA"/>
              </w:rPr>
              <w:t>not</w:t>
            </w:r>
            <w:r w:rsidRPr="00FC15EA">
              <w:rPr>
                <w:rFonts w:ascii="Arial" w:eastAsia="Times New Roman" w:hAnsi="Arial" w:cs="Arial"/>
                <w:lang w:val="en-CA" w:eastAsia="en-CA"/>
              </w:rPr>
              <w:t xml:space="preserve"> to bring in No Fault insurance. </w:t>
            </w:r>
          </w:p>
          <w:p w:rsidR="002F1900" w:rsidRDefault="0065327E" w:rsidP="00FC15EA">
            <w:pPr>
              <w:pStyle w:val="NormalWeb"/>
              <w:rPr>
                <w:rFonts w:ascii="Arial" w:hAnsi="Arial" w:cs="Arial"/>
                <w:lang w:val="en-CA" w:eastAsia="en-CA"/>
              </w:rPr>
            </w:pPr>
            <w:r w:rsidRPr="00FC15EA">
              <w:rPr>
                <w:rFonts w:ascii="Arial" w:hAnsi="Arial" w:cs="Arial"/>
                <w:b/>
                <w:lang w:val="en-CA" w:eastAsia="en-CA"/>
              </w:rPr>
              <w:t>Why the change</w:t>
            </w:r>
            <w:r w:rsidR="002F1900">
              <w:rPr>
                <w:rFonts w:ascii="Arial" w:hAnsi="Arial" w:cs="Arial"/>
                <w:b/>
                <w:lang w:val="en-CA" w:eastAsia="en-CA"/>
              </w:rPr>
              <w:t xml:space="preserve"> and when was the decision made</w:t>
            </w:r>
            <w:r w:rsidRPr="00FC15EA">
              <w:rPr>
                <w:rFonts w:ascii="Arial" w:hAnsi="Arial" w:cs="Arial"/>
                <w:b/>
                <w:lang w:val="en-CA" w:eastAsia="en-CA"/>
              </w:rPr>
              <w:t>?</w:t>
            </w:r>
            <w:r w:rsidRPr="00FC15EA">
              <w:rPr>
                <w:rFonts w:ascii="Arial" w:hAnsi="Arial" w:cs="Arial"/>
                <w:lang w:val="en-CA" w:eastAsia="en-CA"/>
              </w:rPr>
              <w:t xml:space="preserve"> </w:t>
            </w:r>
          </w:p>
          <w:p w:rsidR="002F1900" w:rsidRDefault="002F1900" w:rsidP="002F1900">
            <w:pPr>
              <w:pStyle w:val="NormalWeb"/>
            </w:pPr>
            <w:r w:rsidRPr="00FC15EA">
              <w:rPr>
                <w:rFonts w:ascii="Arial" w:hAnsi="Arial" w:cs="Arial"/>
                <w:color w:val="000000"/>
              </w:rPr>
              <w:t>See</w:t>
            </w:r>
            <w:r w:rsidRPr="00FC15EA">
              <w:rPr>
                <w:rFonts w:ascii="Georgia" w:hAnsi="Georgia"/>
                <w:color w:val="000000"/>
              </w:rPr>
              <w:t xml:space="preserve">: </w:t>
            </w:r>
            <w:hyperlink r:id="rId31" w:history="1">
              <w:r w:rsidRPr="00FC15EA">
                <w:rPr>
                  <w:rStyle w:val="Hyperlink"/>
                  <w:rFonts w:ascii="Arial" w:hAnsi="Arial" w:cs="Arial"/>
                </w:rPr>
                <w:t>https://vancouversun.com/news/politics/from-no-fault-hater-to-no-fault-lover-the-inside-story-on-david-ebys-decision-to-revamp-icbc/</w:t>
              </w:r>
            </w:hyperlink>
            <w:r>
              <w:t xml:space="preserve"> </w:t>
            </w:r>
          </w:p>
          <w:p w:rsidR="008B73FE" w:rsidRDefault="008B73FE" w:rsidP="008B73FE">
            <w:pPr>
              <w:pStyle w:val="NormalWeb"/>
              <w:ind w:left="700" w:right="610"/>
              <w:rPr>
                <w:rFonts w:ascii="Arial" w:hAnsi="Arial" w:cs="Arial"/>
                <w:color w:val="000000"/>
              </w:rPr>
            </w:pPr>
            <w:r>
              <w:rPr>
                <w:rFonts w:ascii="Arial" w:hAnsi="Arial" w:cs="Arial"/>
                <w:color w:val="000000"/>
              </w:rPr>
              <w:t>“</w:t>
            </w:r>
            <w:proofErr w:type="spellStart"/>
            <w:r w:rsidR="00FC15EA" w:rsidRPr="008B73FE">
              <w:rPr>
                <w:rFonts w:ascii="Arial" w:hAnsi="Arial" w:cs="Arial"/>
                <w:color w:val="000000"/>
              </w:rPr>
              <w:t>Eby</w:t>
            </w:r>
            <w:proofErr w:type="spellEnd"/>
            <w:r w:rsidR="00FC15EA" w:rsidRPr="008B73FE">
              <w:rPr>
                <w:rFonts w:ascii="Arial" w:hAnsi="Arial" w:cs="Arial"/>
                <w:color w:val="000000"/>
              </w:rPr>
              <w:t xml:space="preserve"> has been quietly working to develop no-fault auto insurance in B.C. since November 2018,</w:t>
            </w:r>
            <w:r>
              <w:rPr>
                <w:rFonts w:ascii="Arial" w:hAnsi="Arial" w:cs="Arial"/>
                <w:color w:val="000000"/>
              </w:rPr>
              <w:t>”</w:t>
            </w:r>
          </w:p>
          <w:p w:rsidR="008B73FE" w:rsidRDefault="008B73FE" w:rsidP="008B73FE">
            <w:pPr>
              <w:pStyle w:val="NormalWeb"/>
              <w:ind w:left="700" w:right="610"/>
              <w:rPr>
                <w:rFonts w:ascii="Arial" w:hAnsi="Arial" w:cs="Arial"/>
                <w:color w:val="000000"/>
              </w:rPr>
            </w:pPr>
            <w:r>
              <w:rPr>
                <w:rFonts w:ascii="Arial" w:hAnsi="Arial" w:cs="Arial"/>
                <w:color w:val="000000"/>
              </w:rPr>
              <w:t>“</w:t>
            </w:r>
            <w:r w:rsidR="00FC15EA" w:rsidRPr="008B73FE">
              <w:rPr>
                <w:rFonts w:ascii="Arial" w:hAnsi="Arial" w:cs="Arial"/>
                <w:color w:val="000000"/>
              </w:rPr>
              <w:t>He fired a warning shot to trial lawyers in October 2019: ‘In going after these reforms, they should be careful what they wish for, because there won’t be many options left for government after that.’</w:t>
            </w:r>
            <w:r>
              <w:rPr>
                <w:rFonts w:ascii="Arial" w:hAnsi="Arial" w:cs="Arial"/>
                <w:color w:val="000000"/>
              </w:rPr>
              <w:t>”</w:t>
            </w:r>
          </w:p>
          <w:p w:rsidR="00FC15EA" w:rsidRPr="008B73FE" w:rsidRDefault="008B73FE" w:rsidP="008B73FE">
            <w:pPr>
              <w:pStyle w:val="NormalWeb"/>
              <w:ind w:left="700" w:right="610"/>
              <w:rPr>
                <w:rFonts w:ascii="Arial" w:hAnsi="Arial" w:cs="Arial"/>
                <w:color w:val="000000"/>
              </w:rPr>
            </w:pPr>
            <w:r>
              <w:rPr>
                <w:rFonts w:ascii="Arial" w:hAnsi="Arial" w:cs="Arial"/>
                <w:color w:val="000000"/>
              </w:rPr>
              <w:t>“</w:t>
            </w:r>
            <w:r w:rsidR="00FC15EA" w:rsidRPr="008B73FE">
              <w:rPr>
                <w:rFonts w:ascii="Arial" w:hAnsi="Arial" w:cs="Arial"/>
                <w:color w:val="000000"/>
              </w:rPr>
              <w:t xml:space="preserve">By then, </w:t>
            </w:r>
            <w:proofErr w:type="spellStart"/>
            <w:r w:rsidR="00FC15EA" w:rsidRPr="008B73FE">
              <w:rPr>
                <w:rFonts w:ascii="Arial" w:hAnsi="Arial" w:cs="Arial"/>
                <w:color w:val="000000"/>
              </w:rPr>
              <w:t>Eby</w:t>
            </w:r>
            <w:proofErr w:type="spellEnd"/>
            <w:r w:rsidR="00FC15EA" w:rsidRPr="008B73FE">
              <w:rPr>
                <w:rFonts w:ascii="Arial" w:hAnsi="Arial" w:cs="Arial"/>
                <w:color w:val="000000"/>
              </w:rPr>
              <w:t xml:space="preserve"> knew no-fault was coming.”</w:t>
            </w:r>
            <w:r>
              <w:rPr>
                <w:rFonts w:ascii="Arial" w:hAnsi="Arial" w:cs="Arial"/>
                <w:color w:val="000000"/>
              </w:rPr>
              <w:t xml:space="preserve"> </w:t>
            </w:r>
            <w:r w:rsidR="00345EC1" w:rsidRPr="008B73FE">
              <w:rPr>
                <w:rFonts w:ascii="Arial" w:hAnsi="Arial" w:cs="Arial"/>
                <w:color w:val="000000"/>
              </w:rPr>
              <w:br/>
            </w:r>
          </w:p>
        </w:tc>
      </w:tr>
      <w:tr w:rsidR="00425DBD" w:rsidRPr="00425DBD" w:rsidTr="00D756DE">
        <w:tc>
          <w:tcPr>
            <w:tcW w:w="9450" w:type="dxa"/>
            <w:gridSpan w:val="3"/>
            <w:tcMar>
              <w:top w:w="0" w:type="dxa"/>
              <w:left w:w="108" w:type="dxa"/>
              <w:bottom w:w="0" w:type="dxa"/>
              <w:right w:w="108" w:type="dxa"/>
            </w:tcMar>
            <w:hideMark/>
          </w:tcPr>
          <w:p w:rsidR="00425DBD" w:rsidRPr="00425DBD" w:rsidRDefault="00425DBD" w:rsidP="00425DBD">
            <w:pPr>
              <w:rPr>
                <w:rFonts w:ascii="Arial" w:eastAsia="Times New Roman" w:hAnsi="Arial" w:cs="Arial"/>
                <w:lang w:val="en-CA" w:eastAsia="en-CA"/>
              </w:rPr>
            </w:pPr>
          </w:p>
        </w:tc>
        <w:tc>
          <w:tcPr>
            <w:tcW w:w="4677" w:type="dxa"/>
            <w:tcMar>
              <w:top w:w="0" w:type="dxa"/>
              <w:left w:w="108" w:type="dxa"/>
              <w:bottom w:w="0" w:type="dxa"/>
              <w:right w:w="108" w:type="dxa"/>
            </w:tcMar>
            <w:hideMark/>
          </w:tcPr>
          <w:p w:rsidR="00425DBD" w:rsidRPr="00425DBD" w:rsidRDefault="00425DBD" w:rsidP="00425DBD">
            <w:pPr>
              <w:rPr>
                <w:rFonts w:ascii="Arial" w:eastAsia="Times New Roman" w:hAnsi="Arial" w:cs="Arial"/>
                <w:lang w:val="en-CA" w:eastAsia="en-CA"/>
              </w:rPr>
            </w:pPr>
          </w:p>
        </w:tc>
      </w:tr>
      <w:tr w:rsidR="00FD68C0" w:rsidRPr="00425DBD" w:rsidTr="00D756DE">
        <w:tblPrEx>
          <w:shd w:val="clear" w:color="auto" w:fill="FFFFFF"/>
        </w:tblPrEx>
        <w:trPr>
          <w:gridAfter w:val="3"/>
          <w:wAfter w:w="9447" w:type="dxa"/>
        </w:trPr>
        <w:tc>
          <w:tcPr>
            <w:tcW w:w="4680" w:type="dxa"/>
            <w:shd w:val="clear" w:color="auto" w:fill="FFFFFF"/>
            <w:tcMar>
              <w:top w:w="0" w:type="dxa"/>
              <w:left w:w="108" w:type="dxa"/>
              <w:bottom w:w="0" w:type="dxa"/>
              <w:right w:w="108" w:type="dxa"/>
            </w:tcMar>
            <w:hideMark/>
          </w:tcPr>
          <w:p w:rsidR="00FD68C0" w:rsidRPr="00425DBD" w:rsidRDefault="00FD68C0" w:rsidP="0015793F">
            <w:pPr>
              <w:spacing w:after="240"/>
              <w:rPr>
                <w:rFonts w:ascii="Arial" w:eastAsia="Times New Roman" w:hAnsi="Arial" w:cs="Arial"/>
                <w:lang w:val="en-CA" w:eastAsia="en-CA"/>
              </w:rPr>
            </w:pPr>
          </w:p>
        </w:tc>
      </w:tr>
      <w:tr w:rsidR="00FD68C0" w:rsidRPr="00425DBD" w:rsidTr="00D756DE">
        <w:tblPrEx>
          <w:shd w:val="clear" w:color="auto" w:fill="FFFFFF"/>
        </w:tblPrEx>
        <w:trPr>
          <w:gridAfter w:val="2"/>
          <w:wAfter w:w="4767" w:type="dxa"/>
        </w:trPr>
        <w:tc>
          <w:tcPr>
            <w:tcW w:w="4680" w:type="dxa"/>
            <w:shd w:val="clear" w:color="auto" w:fill="FFFFFF"/>
            <w:tcMar>
              <w:top w:w="0" w:type="dxa"/>
              <w:left w:w="108" w:type="dxa"/>
              <w:bottom w:w="0" w:type="dxa"/>
              <w:right w:w="108" w:type="dxa"/>
            </w:tcMar>
            <w:hideMark/>
          </w:tcPr>
          <w:p w:rsidR="00FD68C0" w:rsidRPr="007F5726" w:rsidRDefault="00345EC1" w:rsidP="0015793F">
            <w:pPr>
              <w:spacing w:after="240"/>
              <w:rPr>
                <w:rFonts w:ascii="Arial" w:eastAsia="Times New Roman" w:hAnsi="Arial" w:cs="Arial"/>
                <w:b/>
                <w:lang w:val="en-CA" w:eastAsia="en-CA"/>
              </w:rPr>
            </w:pPr>
            <w:r w:rsidRPr="007F5726">
              <w:rPr>
                <w:rFonts w:ascii="Arial" w:eastAsia="Times New Roman" w:hAnsi="Arial" w:cs="Arial"/>
                <w:b/>
                <w:lang w:val="en-CA" w:eastAsia="en-CA"/>
              </w:rPr>
              <w:t xml:space="preserve">Voices in opposition: </w:t>
            </w:r>
          </w:p>
        </w:tc>
        <w:tc>
          <w:tcPr>
            <w:tcW w:w="4680" w:type="dxa"/>
            <w:shd w:val="clear" w:color="auto" w:fill="FFFFFF"/>
            <w:tcMar>
              <w:top w:w="0" w:type="dxa"/>
              <w:left w:w="108" w:type="dxa"/>
              <w:bottom w:w="0" w:type="dxa"/>
              <w:right w:w="108" w:type="dxa"/>
            </w:tcMar>
            <w:hideMark/>
          </w:tcPr>
          <w:p w:rsidR="00FD68C0" w:rsidRPr="00425DBD" w:rsidRDefault="00FD68C0" w:rsidP="0015793F">
            <w:pPr>
              <w:spacing w:after="240"/>
              <w:rPr>
                <w:rFonts w:ascii="Arial" w:eastAsia="Times New Roman" w:hAnsi="Arial" w:cs="Arial"/>
                <w:lang w:val="en-CA" w:eastAsia="en-CA"/>
              </w:rPr>
            </w:pPr>
          </w:p>
        </w:tc>
      </w:tr>
    </w:tbl>
    <w:p w:rsidR="00345EC1" w:rsidRPr="00345EC1" w:rsidRDefault="002F1900" w:rsidP="00345EC1">
      <w:pPr>
        <w:pStyle w:val="ListParagraph"/>
        <w:numPr>
          <w:ilvl w:val="0"/>
          <w:numId w:val="42"/>
        </w:numPr>
        <w:spacing w:after="240"/>
        <w:contextualSpacing w:val="0"/>
        <w:rPr>
          <w:rFonts w:ascii="Arial" w:hAnsi="Arial" w:cs="Arial"/>
        </w:rPr>
      </w:pPr>
      <w:r w:rsidRPr="00345EC1">
        <w:rPr>
          <w:rFonts w:ascii="Arial" w:hAnsi="Arial" w:cs="Arial"/>
        </w:rPr>
        <w:t xml:space="preserve">The </w:t>
      </w:r>
      <w:r w:rsidR="00345EC1">
        <w:rPr>
          <w:rFonts w:ascii="Arial" w:hAnsi="Arial" w:cs="Arial"/>
        </w:rPr>
        <w:t xml:space="preserve">official </w:t>
      </w:r>
      <w:r w:rsidRPr="00345EC1">
        <w:rPr>
          <w:rFonts w:ascii="Arial" w:hAnsi="Arial" w:cs="Arial"/>
        </w:rPr>
        <w:t xml:space="preserve">campaign against:  </w:t>
      </w:r>
      <w:hyperlink r:id="rId32" w:history="1">
        <w:r w:rsidRPr="00345EC1">
          <w:rPr>
            <w:rStyle w:val="Hyperlink"/>
            <w:rFonts w:ascii="Arial" w:hAnsi="Arial" w:cs="Arial"/>
          </w:rPr>
          <w:t>https://www.notonofault.com/</w:t>
        </w:r>
      </w:hyperlink>
    </w:p>
    <w:p w:rsidR="00345EC1" w:rsidRDefault="00345EC1" w:rsidP="00345EC1">
      <w:pPr>
        <w:pStyle w:val="NormalWeb"/>
        <w:numPr>
          <w:ilvl w:val="0"/>
          <w:numId w:val="42"/>
        </w:numPr>
        <w:spacing w:after="240" w:afterAutospacing="0"/>
        <w:rPr>
          <w:rFonts w:ascii="Arial" w:hAnsi="Arial" w:cs="Arial"/>
          <w:color w:val="000000"/>
        </w:rPr>
      </w:pPr>
      <w:r w:rsidRPr="007F5726">
        <w:rPr>
          <w:rFonts w:ascii="Arial" w:hAnsi="Arial" w:cs="Arial"/>
          <w:b/>
          <w:color w:val="000000"/>
        </w:rPr>
        <w:t>Opposition Liberal critic Jas Johal</w:t>
      </w:r>
      <w:r w:rsidRPr="00345EC1">
        <w:rPr>
          <w:rFonts w:ascii="Arial" w:hAnsi="Arial" w:cs="Arial"/>
          <w:color w:val="000000"/>
        </w:rPr>
        <w:t xml:space="preserve"> said the no-fault legislation simply creates a bigger, bureaucratic ICBC where injured people have little say in their recovery.</w:t>
      </w:r>
    </w:p>
    <w:p w:rsidR="007F5726" w:rsidRDefault="00345EC1" w:rsidP="00345EC1">
      <w:pPr>
        <w:pStyle w:val="NormalWeb"/>
        <w:numPr>
          <w:ilvl w:val="0"/>
          <w:numId w:val="42"/>
        </w:numPr>
        <w:spacing w:after="240" w:afterAutospacing="0"/>
        <w:rPr>
          <w:rFonts w:ascii="Arial" w:hAnsi="Arial" w:cs="Arial"/>
          <w:color w:val="000000"/>
        </w:rPr>
      </w:pPr>
      <w:r w:rsidRPr="00345EC1">
        <w:rPr>
          <w:rFonts w:ascii="Arial" w:hAnsi="Arial" w:cs="Arial"/>
          <w:b/>
          <w:color w:val="000000"/>
        </w:rPr>
        <w:t>Insurance Bureau of Canada</w:t>
      </w:r>
      <w:r w:rsidRPr="00345EC1">
        <w:rPr>
          <w:rFonts w:ascii="Arial" w:hAnsi="Arial" w:cs="Arial"/>
          <w:color w:val="000000"/>
        </w:rPr>
        <w:t xml:space="preserve">: </w:t>
      </w:r>
    </w:p>
    <w:p w:rsidR="00345EC1" w:rsidRPr="00345EC1" w:rsidRDefault="00345EC1" w:rsidP="004259E1">
      <w:pPr>
        <w:pStyle w:val="NormalWeb"/>
        <w:spacing w:after="240" w:afterAutospacing="0"/>
        <w:ind w:left="720"/>
        <w:jc w:val="both"/>
        <w:rPr>
          <w:rFonts w:ascii="Arial" w:hAnsi="Arial" w:cs="Arial"/>
          <w:color w:val="000000"/>
        </w:rPr>
      </w:pPr>
      <w:r w:rsidRPr="00345EC1">
        <w:rPr>
          <w:rFonts w:ascii="Arial" w:hAnsi="Arial" w:cs="Arial"/>
          <w:color w:val="000000"/>
        </w:rPr>
        <w:t xml:space="preserve">“Minister </w:t>
      </w:r>
      <w:proofErr w:type="spellStart"/>
      <w:r w:rsidRPr="00345EC1">
        <w:rPr>
          <w:rFonts w:ascii="Arial" w:hAnsi="Arial" w:cs="Arial"/>
          <w:color w:val="000000"/>
        </w:rPr>
        <w:t>Eby</w:t>
      </w:r>
      <w:proofErr w:type="spellEnd"/>
      <w:r w:rsidRPr="00345EC1">
        <w:rPr>
          <w:rFonts w:ascii="Arial" w:hAnsi="Arial" w:cs="Arial"/>
          <w:color w:val="000000"/>
        </w:rPr>
        <w:t xml:space="preserve"> has made clear, and British Columbians have acknowledged, they’ve lost trust in ICBC, but today we’re being asked to put our lives in their hands,” said Aaron Sutherland, vice-president of the Insurance Bureau of Canada, which represents private auto-insurers. “British Columbians should be concerned about that.”</w:t>
      </w:r>
    </w:p>
    <w:p w:rsidR="00345EC1" w:rsidRDefault="00345EC1" w:rsidP="007F5726">
      <w:pPr>
        <w:pStyle w:val="NormalWeb"/>
        <w:keepNext/>
        <w:keepLines/>
        <w:numPr>
          <w:ilvl w:val="0"/>
          <w:numId w:val="42"/>
        </w:numPr>
        <w:spacing w:after="240" w:afterAutospacing="0"/>
        <w:rPr>
          <w:rFonts w:ascii="Arial" w:hAnsi="Arial" w:cs="Arial"/>
          <w:color w:val="000000"/>
        </w:rPr>
      </w:pPr>
      <w:r w:rsidRPr="00345EC1">
        <w:rPr>
          <w:rFonts w:ascii="Arial" w:hAnsi="Arial" w:cs="Arial"/>
          <w:b/>
          <w:color w:val="000000"/>
        </w:rPr>
        <w:t>Canadian Bar Association, BC Branch</w:t>
      </w:r>
      <w:r>
        <w:rPr>
          <w:rFonts w:ascii="Arial" w:hAnsi="Arial" w:cs="Arial"/>
          <w:color w:val="000000"/>
        </w:rPr>
        <w:t xml:space="preserve">:  </w:t>
      </w:r>
    </w:p>
    <w:p w:rsidR="00345EC1" w:rsidRPr="004259E1" w:rsidRDefault="00345EC1" w:rsidP="00345EC1">
      <w:pPr>
        <w:pStyle w:val="NormalWeb"/>
        <w:shd w:val="clear" w:color="auto" w:fill="FFFFFF"/>
        <w:tabs>
          <w:tab w:val="left" w:pos="8640"/>
        </w:tabs>
        <w:spacing w:before="0" w:beforeAutospacing="0" w:after="150" w:afterAutospacing="0"/>
        <w:ind w:left="1080" w:right="720"/>
        <w:jc w:val="both"/>
        <w:rPr>
          <w:rFonts w:ascii="Arial" w:hAnsi="Arial" w:cs="Arial"/>
          <w:color w:val="000000"/>
          <w:szCs w:val="20"/>
        </w:rPr>
      </w:pPr>
      <w:r w:rsidRPr="004259E1">
        <w:rPr>
          <w:rFonts w:ascii="Arial" w:hAnsi="Arial" w:cs="Arial"/>
          <w:color w:val="000000"/>
          <w:szCs w:val="20"/>
        </w:rPr>
        <w:t xml:space="preserve">The Canadian Bar Association, BC Branch (CBABC) is </w:t>
      </w:r>
      <w:r w:rsidRPr="004259E1">
        <w:rPr>
          <w:rFonts w:ascii="Arial" w:hAnsi="Arial" w:cs="Arial"/>
          <w:b/>
          <w:color w:val="000000"/>
          <w:szCs w:val="20"/>
        </w:rPr>
        <w:t xml:space="preserve">deeply disappointed </w:t>
      </w:r>
      <w:r w:rsidRPr="004259E1">
        <w:rPr>
          <w:rFonts w:ascii="Arial" w:hAnsi="Arial" w:cs="Arial"/>
          <w:color w:val="000000"/>
          <w:szCs w:val="20"/>
        </w:rPr>
        <w:t xml:space="preserve">in the announcement made today by Premier John </w:t>
      </w:r>
      <w:proofErr w:type="spellStart"/>
      <w:r w:rsidRPr="004259E1">
        <w:rPr>
          <w:rFonts w:ascii="Arial" w:hAnsi="Arial" w:cs="Arial"/>
          <w:color w:val="000000"/>
          <w:szCs w:val="20"/>
        </w:rPr>
        <w:t>Horgan</w:t>
      </w:r>
      <w:proofErr w:type="spellEnd"/>
      <w:r w:rsidRPr="004259E1">
        <w:rPr>
          <w:rFonts w:ascii="Arial" w:hAnsi="Arial" w:cs="Arial"/>
          <w:color w:val="000000"/>
          <w:szCs w:val="20"/>
        </w:rPr>
        <w:t xml:space="preserve"> and Attorney General David </w:t>
      </w:r>
      <w:proofErr w:type="spellStart"/>
      <w:r w:rsidRPr="004259E1">
        <w:rPr>
          <w:rFonts w:ascii="Arial" w:hAnsi="Arial" w:cs="Arial"/>
          <w:color w:val="000000"/>
          <w:szCs w:val="20"/>
        </w:rPr>
        <w:t>Eby</w:t>
      </w:r>
      <w:proofErr w:type="spellEnd"/>
      <w:r w:rsidRPr="004259E1">
        <w:rPr>
          <w:rFonts w:ascii="Arial" w:hAnsi="Arial" w:cs="Arial"/>
          <w:color w:val="000000"/>
          <w:szCs w:val="20"/>
        </w:rPr>
        <w:t xml:space="preserve"> to introduce a “no-fault” insurance plan to address ICBC’s ongoing financial problems.</w:t>
      </w:r>
    </w:p>
    <w:p w:rsidR="00345EC1" w:rsidRPr="004259E1" w:rsidRDefault="00345EC1" w:rsidP="00345EC1">
      <w:pPr>
        <w:pStyle w:val="NormalWeb"/>
        <w:shd w:val="clear" w:color="auto" w:fill="FFFFFF"/>
        <w:tabs>
          <w:tab w:val="left" w:pos="8640"/>
        </w:tabs>
        <w:spacing w:before="0" w:beforeAutospacing="0" w:after="150" w:afterAutospacing="0"/>
        <w:ind w:left="1080" w:right="720"/>
        <w:jc w:val="both"/>
        <w:rPr>
          <w:rFonts w:ascii="Arial" w:hAnsi="Arial" w:cs="Arial"/>
          <w:color w:val="000000"/>
          <w:szCs w:val="20"/>
        </w:rPr>
      </w:pPr>
      <w:r w:rsidRPr="004259E1">
        <w:rPr>
          <w:rFonts w:ascii="Arial" w:hAnsi="Arial" w:cs="Arial"/>
          <w:color w:val="000000"/>
          <w:szCs w:val="20"/>
        </w:rPr>
        <w:t>CBABC is opposed to no-fault insurance for British Columbians. Across the country, these programs have been proven to reduce the rights of injured victims to have their claims assessed based on their individual circumstances.</w:t>
      </w:r>
    </w:p>
    <w:p w:rsidR="00345EC1" w:rsidRDefault="00345EC1" w:rsidP="00345EC1">
      <w:pPr>
        <w:pStyle w:val="NormalWeb"/>
        <w:numPr>
          <w:ilvl w:val="0"/>
          <w:numId w:val="42"/>
        </w:numPr>
        <w:rPr>
          <w:rFonts w:ascii="Arial" w:hAnsi="Arial" w:cs="Arial"/>
          <w:color w:val="000000"/>
        </w:rPr>
      </w:pPr>
      <w:r w:rsidRPr="007F5726">
        <w:rPr>
          <w:rFonts w:ascii="Arial" w:hAnsi="Arial" w:cs="Arial"/>
          <w:b/>
          <w:color w:val="000000"/>
        </w:rPr>
        <w:t>Law Society of British Columbia</w:t>
      </w:r>
      <w:r>
        <w:rPr>
          <w:rFonts w:ascii="Arial" w:hAnsi="Arial" w:cs="Arial"/>
          <w:color w:val="000000"/>
        </w:rPr>
        <w:t xml:space="preserve">: </w:t>
      </w:r>
    </w:p>
    <w:p w:rsidR="00345EC1" w:rsidRDefault="00345EC1" w:rsidP="00345EC1">
      <w:pPr>
        <w:pStyle w:val="NormalWeb"/>
        <w:shd w:val="clear" w:color="auto" w:fill="FFFFFF"/>
        <w:spacing w:before="0" w:beforeAutospacing="0" w:after="240" w:afterAutospacing="0"/>
        <w:ind w:left="1080" w:right="720"/>
        <w:jc w:val="both"/>
        <w:rPr>
          <w:rFonts w:ascii="Arial" w:hAnsi="Arial" w:cs="Arial"/>
          <w:color w:val="17212B"/>
        </w:rPr>
      </w:pPr>
      <w:r>
        <w:rPr>
          <w:rFonts w:ascii="Arial" w:hAnsi="Arial" w:cs="Arial"/>
          <w:color w:val="17212B"/>
        </w:rPr>
        <w:t>“The right of legal assistance and the right to have disputes about fair compensation for motor vehicle accidents determined by the courts are rights that should not be set aside simply to solve ICBC’s problems,” said President Craig Ferris, QC. “The Law Society is concerned that individuals who are injured in a motor vehicle accident, through no fault of their own, will find themselves alone in dealing with an insurance monopoly that historically has focused more on cost reduction than assisting those in need.”</w:t>
      </w:r>
    </w:p>
    <w:p w:rsidR="00345EC1" w:rsidRDefault="00345EC1" w:rsidP="007F5726">
      <w:pPr>
        <w:pStyle w:val="NormalWeb"/>
        <w:shd w:val="clear" w:color="auto" w:fill="FFFFFF"/>
        <w:spacing w:before="0" w:beforeAutospacing="0" w:after="240" w:afterAutospacing="0"/>
        <w:ind w:left="1080" w:right="720"/>
        <w:jc w:val="both"/>
        <w:rPr>
          <w:rFonts w:ascii="Arial" w:hAnsi="Arial" w:cs="Arial"/>
          <w:color w:val="17212B"/>
        </w:rPr>
      </w:pPr>
      <w:r>
        <w:rPr>
          <w:rFonts w:ascii="Arial" w:hAnsi="Arial" w:cs="Arial"/>
          <w:color w:val="17212B"/>
        </w:rPr>
        <w:t>“We are concerned that the proposed regime will discourage seriously injured and disabled accident victims from getting the legal advice they need,” President Ferris added. “The Law Society will be bringing our concerns to the attention of the Attorney General and Minister responsible for ICBC, as well as other Members of the Legislative Assembly.”</w:t>
      </w:r>
    </w:p>
    <w:p w:rsidR="007F5726" w:rsidRPr="00C25F6C" w:rsidRDefault="007F5726" w:rsidP="007F5726">
      <w:pPr>
        <w:pStyle w:val="Default"/>
        <w:numPr>
          <w:ilvl w:val="1"/>
          <w:numId w:val="1"/>
        </w:numPr>
        <w:spacing w:after="240"/>
        <w:ind w:left="806" w:hanging="806"/>
        <w:jc w:val="both"/>
        <w:rPr>
          <w:rFonts w:ascii="Arial" w:hAnsi="Arial" w:cs="Arial"/>
          <w:b/>
        </w:rPr>
      </w:pPr>
      <w:r>
        <w:rPr>
          <w:rFonts w:ascii="Arial" w:hAnsi="Arial" w:cs="Arial"/>
          <w:b/>
        </w:rPr>
        <w:t>HOUSEKEEPING</w:t>
      </w:r>
    </w:p>
    <w:p w:rsidR="00BD003F" w:rsidRDefault="007F5726" w:rsidP="007F5726">
      <w:pPr>
        <w:pStyle w:val="NormalWeb"/>
        <w:numPr>
          <w:ilvl w:val="0"/>
          <w:numId w:val="42"/>
        </w:numPr>
        <w:shd w:val="clear" w:color="auto" w:fill="FFFFFF"/>
        <w:spacing w:before="0" w:beforeAutospacing="0" w:after="240" w:afterAutospacing="0"/>
        <w:ind w:right="720"/>
        <w:jc w:val="both"/>
        <w:rPr>
          <w:rFonts w:ascii="Arial" w:hAnsi="Arial" w:cs="Arial"/>
          <w:color w:val="17212B"/>
        </w:rPr>
      </w:pPr>
      <w:r>
        <w:rPr>
          <w:rFonts w:ascii="Arial" w:hAnsi="Arial" w:cs="Arial"/>
          <w:color w:val="17212B"/>
        </w:rPr>
        <w:t>Next week’s class (by Zoom) will be our last class of the semester.</w:t>
      </w:r>
      <w:r w:rsidR="00BD003F">
        <w:rPr>
          <w:rFonts w:ascii="Arial" w:hAnsi="Arial" w:cs="Arial"/>
          <w:color w:val="17212B"/>
        </w:rPr>
        <w:t xml:space="preserve"> </w:t>
      </w:r>
    </w:p>
    <w:p w:rsidR="007F5726" w:rsidRDefault="00BD003F" w:rsidP="007F5726">
      <w:pPr>
        <w:pStyle w:val="NormalWeb"/>
        <w:numPr>
          <w:ilvl w:val="0"/>
          <w:numId w:val="42"/>
        </w:numPr>
        <w:shd w:val="clear" w:color="auto" w:fill="FFFFFF"/>
        <w:spacing w:before="0" w:beforeAutospacing="0" w:after="240" w:afterAutospacing="0"/>
        <w:ind w:right="720"/>
        <w:jc w:val="both"/>
        <w:rPr>
          <w:rFonts w:ascii="Arial" w:hAnsi="Arial" w:cs="Arial"/>
          <w:color w:val="17212B"/>
        </w:rPr>
      </w:pPr>
      <w:r>
        <w:rPr>
          <w:rFonts w:ascii="Arial" w:hAnsi="Arial" w:cs="Arial"/>
          <w:color w:val="17212B"/>
        </w:rPr>
        <w:t xml:space="preserve">We will circulate, in advance, a </w:t>
      </w:r>
      <w:r w:rsidR="004259E1">
        <w:rPr>
          <w:rFonts w:ascii="Arial" w:hAnsi="Arial" w:cs="Arial"/>
          <w:color w:val="17212B"/>
        </w:rPr>
        <w:t>past year’s</w:t>
      </w:r>
      <w:r>
        <w:rPr>
          <w:rFonts w:ascii="Arial" w:hAnsi="Arial" w:cs="Arial"/>
          <w:color w:val="17212B"/>
        </w:rPr>
        <w:t xml:space="preserve"> examination for discussion and review. </w:t>
      </w:r>
    </w:p>
    <w:p w:rsidR="00BD003F" w:rsidRDefault="00BD003F" w:rsidP="007F5726">
      <w:pPr>
        <w:pStyle w:val="NormalWeb"/>
        <w:numPr>
          <w:ilvl w:val="0"/>
          <w:numId w:val="42"/>
        </w:numPr>
        <w:shd w:val="clear" w:color="auto" w:fill="FFFFFF"/>
        <w:spacing w:before="0" w:beforeAutospacing="0" w:after="240" w:afterAutospacing="0"/>
        <w:ind w:right="720"/>
        <w:jc w:val="both"/>
        <w:rPr>
          <w:rFonts w:ascii="Arial" w:hAnsi="Arial" w:cs="Arial"/>
          <w:color w:val="17212B"/>
        </w:rPr>
      </w:pPr>
      <w:r>
        <w:rPr>
          <w:rFonts w:ascii="Arial" w:hAnsi="Arial" w:cs="Arial"/>
          <w:color w:val="17212B"/>
        </w:rPr>
        <w:t xml:space="preserve">Please send us your questions about any of the lectures this semester, and we’ll </w:t>
      </w:r>
      <w:r w:rsidR="004259E1">
        <w:rPr>
          <w:rFonts w:ascii="Arial" w:hAnsi="Arial" w:cs="Arial"/>
          <w:color w:val="17212B"/>
        </w:rPr>
        <w:t xml:space="preserve">also </w:t>
      </w:r>
      <w:r>
        <w:rPr>
          <w:rFonts w:ascii="Arial" w:hAnsi="Arial" w:cs="Arial"/>
          <w:color w:val="17212B"/>
        </w:rPr>
        <w:t xml:space="preserve">answer </w:t>
      </w:r>
      <w:r w:rsidR="004259E1">
        <w:rPr>
          <w:rFonts w:ascii="Arial" w:hAnsi="Arial" w:cs="Arial"/>
          <w:color w:val="17212B"/>
        </w:rPr>
        <w:t>those</w:t>
      </w:r>
      <w:r>
        <w:rPr>
          <w:rFonts w:ascii="Arial" w:hAnsi="Arial" w:cs="Arial"/>
          <w:color w:val="17212B"/>
        </w:rPr>
        <w:t xml:space="preserve"> live on the video conference call. </w:t>
      </w:r>
    </w:p>
    <w:p w:rsidR="00BD003F" w:rsidRDefault="00BD003F" w:rsidP="00BD003F">
      <w:pPr>
        <w:pStyle w:val="NormalWeb"/>
        <w:numPr>
          <w:ilvl w:val="0"/>
          <w:numId w:val="42"/>
        </w:numPr>
        <w:shd w:val="clear" w:color="auto" w:fill="FFFFFF"/>
        <w:spacing w:before="0" w:beforeAutospacing="0" w:after="240" w:afterAutospacing="0"/>
        <w:ind w:right="720"/>
        <w:jc w:val="both"/>
        <w:rPr>
          <w:rFonts w:ascii="Arial" w:hAnsi="Arial" w:cs="Arial"/>
          <w:color w:val="17212B"/>
        </w:rPr>
      </w:pPr>
      <w:r>
        <w:rPr>
          <w:rFonts w:ascii="Arial" w:hAnsi="Arial" w:cs="Arial"/>
          <w:color w:val="17212B"/>
        </w:rPr>
        <w:t xml:space="preserve">We will record the call for those of you who are </w:t>
      </w:r>
      <w:r w:rsidR="004259E1">
        <w:rPr>
          <w:rFonts w:ascii="Arial" w:hAnsi="Arial" w:cs="Arial"/>
          <w:color w:val="17212B"/>
        </w:rPr>
        <w:t xml:space="preserve">now </w:t>
      </w:r>
      <w:r>
        <w:rPr>
          <w:rFonts w:ascii="Arial" w:hAnsi="Arial" w:cs="Arial"/>
          <w:color w:val="17212B"/>
        </w:rPr>
        <w:t>international and may not be able to join us at the scheduled time.</w:t>
      </w:r>
    </w:p>
    <w:p w:rsidR="00B376A0" w:rsidRDefault="00BD003F" w:rsidP="00BD003F">
      <w:pPr>
        <w:pStyle w:val="NormalWeb"/>
        <w:numPr>
          <w:ilvl w:val="0"/>
          <w:numId w:val="42"/>
        </w:numPr>
        <w:shd w:val="clear" w:color="auto" w:fill="FFFFFF"/>
        <w:spacing w:before="0" w:beforeAutospacing="0" w:after="240" w:afterAutospacing="0"/>
        <w:ind w:right="720"/>
        <w:jc w:val="both"/>
        <w:rPr>
          <w:rFonts w:ascii="Arial" w:hAnsi="Arial" w:cs="Arial"/>
          <w:color w:val="17212B"/>
        </w:rPr>
      </w:pPr>
      <w:r>
        <w:rPr>
          <w:rFonts w:ascii="Arial" w:hAnsi="Arial" w:cs="Arial"/>
          <w:color w:val="17212B"/>
        </w:rPr>
        <w:t xml:space="preserve">The </w:t>
      </w:r>
      <w:r w:rsidR="00B376A0">
        <w:rPr>
          <w:rFonts w:ascii="Arial" w:hAnsi="Arial" w:cs="Arial"/>
          <w:color w:val="17212B"/>
        </w:rPr>
        <w:t>final exam</w:t>
      </w:r>
      <w:r>
        <w:rPr>
          <w:rFonts w:ascii="Arial" w:hAnsi="Arial" w:cs="Arial"/>
          <w:color w:val="17212B"/>
        </w:rPr>
        <w:t xml:space="preserve"> is scheduled for </w:t>
      </w:r>
      <w:r w:rsidR="00B376A0" w:rsidRPr="001E104E">
        <w:rPr>
          <w:rFonts w:ascii="Arial" w:hAnsi="Arial" w:cs="Arial"/>
          <w:b/>
          <w:color w:val="17212B"/>
        </w:rPr>
        <w:t>Monday, April 20, 2020 at 9:00 a.m</w:t>
      </w:r>
      <w:r w:rsidR="00B376A0">
        <w:rPr>
          <w:rFonts w:ascii="Arial" w:hAnsi="Arial" w:cs="Arial"/>
          <w:color w:val="17212B"/>
        </w:rPr>
        <w:t xml:space="preserve">.  Students will complete the examination by computer (remotely) and will be graded as usual. </w:t>
      </w:r>
    </w:p>
    <w:p w:rsidR="00345EC1" w:rsidRPr="008F2F72" w:rsidRDefault="00B376A0" w:rsidP="008F2F72">
      <w:pPr>
        <w:pStyle w:val="NormalWeb"/>
        <w:numPr>
          <w:ilvl w:val="0"/>
          <w:numId w:val="42"/>
        </w:numPr>
        <w:shd w:val="clear" w:color="auto" w:fill="FFFFFF"/>
        <w:spacing w:before="0" w:beforeAutospacing="0" w:after="240" w:afterAutospacing="0"/>
        <w:ind w:right="720"/>
        <w:jc w:val="both"/>
        <w:rPr>
          <w:rFonts w:ascii="Arial" w:hAnsi="Arial" w:cs="Arial"/>
          <w:color w:val="17212B"/>
        </w:rPr>
      </w:pPr>
      <w:r>
        <w:rPr>
          <w:rFonts w:ascii="Arial" w:hAnsi="Arial" w:cs="Arial"/>
          <w:color w:val="17212B"/>
        </w:rPr>
        <w:t xml:space="preserve">We encourage you to </w:t>
      </w:r>
      <w:r w:rsidRPr="008E7BEF">
        <w:rPr>
          <w:rFonts w:ascii="Arial" w:hAnsi="Arial" w:cs="Arial"/>
          <w:b/>
          <w:color w:val="17212B"/>
        </w:rPr>
        <w:t>please complete the online course evaluation</w:t>
      </w:r>
      <w:r>
        <w:rPr>
          <w:rFonts w:ascii="Arial" w:hAnsi="Arial" w:cs="Arial"/>
          <w:color w:val="17212B"/>
        </w:rPr>
        <w:t xml:space="preserve"> and let us know what improvements we can make for the course next year!  The evaluation is now open until Monday, April 13. You should have already received an email from </w:t>
      </w:r>
      <w:hyperlink r:id="rId33" w:history="1">
        <w:r w:rsidRPr="00FD21E4">
          <w:rPr>
            <w:rStyle w:val="Hyperlink"/>
            <w:rFonts w:ascii="Arial" w:hAnsi="Arial" w:cs="Arial"/>
          </w:rPr>
          <w:t>support@SEOT.ubc.ca</w:t>
        </w:r>
      </w:hyperlink>
      <w:r>
        <w:rPr>
          <w:rFonts w:ascii="Arial" w:hAnsi="Arial" w:cs="Arial"/>
          <w:color w:val="17212B"/>
        </w:rPr>
        <w:t xml:space="preserve"> on March 28</w:t>
      </w:r>
      <w:r w:rsidRPr="00B376A0">
        <w:rPr>
          <w:rFonts w:ascii="Arial" w:hAnsi="Arial" w:cs="Arial"/>
          <w:color w:val="17212B"/>
          <w:vertAlign w:val="superscript"/>
        </w:rPr>
        <w:t>th</w:t>
      </w:r>
      <w:r>
        <w:rPr>
          <w:rFonts w:ascii="Arial" w:hAnsi="Arial" w:cs="Arial"/>
          <w:color w:val="17212B"/>
        </w:rPr>
        <w:t xml:space="preserve"> that directs you to the teaching evaluation site. </w:t>
      </w:r>
    </w:p>
    <w:sectPr w:rsidR="00345EC1" w:rsidRPr="008F2F72" w:rsidSect="002F1900">
      <w:footerReference w:type="default" r:id="rId34"/>
      <w:pgSz w:w="12240" w:h="15840"/>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6D" w:rsidRDefault="00D4406D" w:rsidP="00C9033B">
      <w:r>
        <w:separator/>
      </w:r>
    </w:p>
  </w:endnote>
  <w:endnote w:type="continuationSeparator" w:id="0">
    <w:p w:rsidR="00D4406D" w:rsidRDefault="00D4406D" w:rsidP="00C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049056"/>
      <w:docPartObj>
        <w:docPartGallery w:val="Page Numbers (Bottom of Page)"/>
        <w:docPartUnique/>
      </w:docPartObj>
    </w:sdtPr>
    <w:sdtEndPr>
      <w:rPr>
        <w:noProof/>
      </w:rPr>
    </w:sdtEndPr>
    <w:sdtContent>
      <w:p w:rsidR="0015793F" w:rsidRDefault="0015793F">
        <w:pPr>
          <w:pStyle w:val="Footer"/>
          <w:jc w:val="right"/>
        </w:pPr>
        <w:r>
          <w:fldChar w:fldCharType="begin"/>
        </w:r>
        <w:r>
          <w:instrText xml:space="preserve"> PAGE   \* MERGEFORMAT </w:instrText>
        </w:r>
        <w:r>
          <w:fldChar w:fldCharType="separate"/>
        </w:r>
        <w:r w:rsidR="00E66D4E">
          <w:rPr>
            <w:noProof/>
          </w:rPr>
          <w:t>22</w:t>
        </w:r>
        <w:r>
          <w:rPr>
            <w:noProof/>
          </w:rPr>
          <w:fldChar w:fldCharType="end"/>
        </w:r>
      </w:p>
    </w:sdtContent>
  </w:sdt>
  <w:p w:rsidR="0015793F" w:rsidRDefault="0015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6D" w:rsidRDefault="00D4406D" w:rsidP="00C9033B">
      <w:r>
        <w:separator/>
      </w:r>
    </w:p>
  </w:footnote>
  <w:footnote w:type="continuationSeparator" w:id="0">
    <w:p w:rsidR="00D4406D" w:rsidRDefault="00D4406D" w:rsidP="00C90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A3E"/>
    <w:multiLevelType w:val="multilevel"/>
    <w:tmpl w:val="E50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1850"/>
    <w:multiLevelType w:val="hybridMultilevel"/>
    <w:tmpl w:val="B31CE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D03F6"/>
    <w:multiLevelType w:val="hybridMultilevel"/>
    <w:tmpl w:val="2850CE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DC3F36"/>
    <w:multiLevelType w:val="hybridMultilevel"/>
    <w:tmpl w:val="D1A2CDAC"/>
    <w:lvl w:ilvl="0" w:tplc="10090001">
      <w:start w:val="1"/>
      <w:numFmt w:val="bullet"/>
      <w:lvlText w:val=""/>
      <w:lvlJc w:val="left"/>
      <w:pPr>
        <w:ind w:left="360" w:hanging="360"/>
      </w:pPr>
      <w:rPr>
        <w:rFonts w:ascii="Symbol" w:hAnsi="Symbol" w:hint="default"/>
      </w:rPr>
    </w:lvl>
    <w:lvl w:ilvl="1" w:tplc="E9F2768C">
      <w:numFmt w:val="bullet"/>
      <w:lvlText w:val="•"/>
      <w:lvlJc w:val="left"/>
      <w:pPr>
        <w:ind w:left="1080" w:hanging="360"/>
      </w:pPr>
      <w:rPr>
        <w:rFonts w:ascii="Cambria" w:eastAsiaTheme="minorHAnsi" w:hAnsi="Cambria"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A859C9"/>
    <w:multiLevelType w:val="hybridMultilevel"/>
    <w:tmpl w:val="9A761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E2F9C"/>
    <w:multiLevelType w:val="hybridMultilevel"/>
    <w:tmpl w:val="72D4C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711603"/>
    <w:multiLevelType w:val="hybridMultilevel"/>
    <w:tmpl w:val="5D609B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EE4FC9"/>
    <w:multiLevelType w:val="hybridMultilevel"/>
    <w:tmpl w:val="26EECD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4D606CD"/>
    <w:multiLevelType w:val="hybridMultilevel"/>
    <w:tmpl w:val="1E225A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89E1B9C"/>
    <w:multiLevelType w:val="multilevel"/>
    <w:tmpl w:val="B5C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67A9C"/>
    <w:multiLevelType w:val="hybridMultilevel"/>
    <w:tmpl w:val="913E6E6A"/>
    <w:lvl w:ilvl="0" w:tplc="91281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493328"/>
    <w:multiLevelType w:val="multilevel"/>
    <w:tmpl w:val="7FF8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E5C74"/>
    <w:multiLevelType w:val="hybridMultilevel"/>
    <w:tmpl w:val="20B877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43000B0"/>
    <w:multiLevelType w:val="hybridMultilevel"/>
    <w:tmpl w:val="04CECD98"/>
    <w:lvl w:ilvl="0" w:tplc="10090001">
      <w:start w:val="1"/>
      <w:numFmt w:val="bullet"/>
      <w:lvlText w:val=""/>
      <w:lvlJc w:val="left"/>
      <w:pPr>
        <w:ind w:left="360" w:hanging="360"/>
      </w:pPr>
      <w:rPr>
        <w:rFonts w:ascii="Symbol" w:hAnsi="Symbol" w:hint="default"/>
      </w:rPr>
    </w:lvl>
    <w:lvl w:ilvl="1" w:tplc="F5BA62E8">
      <w:numFmt w:val="bullet"/>
      <w:lvlText w:val="•"/>
      <w:lvlJc w:val="left"/>
      <w:pPr>
        <w:ind w:left="1440" w:hanging="720"/>
      </w:pPr>
      <w:rPr>
        <w:rFonts w:ascii="Cambria" w:eastAsiaTheme="minorHAnsi" w:hAnsi="Cambria"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8806961"/>
    <w:multiLevelType w:val="multilevel"/>
    <w:tmpl w:val="E658600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2D5D50"/>
    <w:multiLevelType w:val="hybridMultilevel"/>
    <w:tmpl w:val="DFE260E0"/>
    <w:lvl w:ilvl="0" w:tplc="B526E53C">
      <w:start w:val="1"/>
      <w:numFmt w:val="lowerLetter"/>
      <w:lvlText w:val="%1."/>
      <w:lvlJc w:val="left"/>
      <w:pPr>
        <w:ind w:left="2350" w:hanging="93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6" w15:restartNumberingAfterBreak="0">
    <w:nsid w:val="2E7A3B30"/>
    <w:multiLevelType w:val="hybridMultilevel"/>
    <w:tmpl w:val="5644C05C"/>
    <w:lvl w:ilvl="0" w:tplc="2E50FA7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07641"/>
    <w:multiLevelType w:val="hybridMultilevel"/>
    <w:tmpl w:val="FD287BAE"/>
    <w:lvl w:ilvl="0" w:tplc="04090017">
      <w:start w:val="1"/>
      <w:numFmt w:val="lowerLetter"/>
      <w:lvlText w:val="%1)"/>
      <w:lvlJc w:val="left"/>
      <w:pPr>
        <w:ind w:left="2140" w:hanging="360"/>
      </w:p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35E5630D"/>
    <w:multiLevelType w:val="hybridMultilevel"/>
    <w:tmpl w:val="63B45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631FF4"/>
    <w:multiLevelType w:val="multilevel"/>
    <w:tmpl w:val="010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0013D"/>
    <w:multiLevelType w:val="hybridMultilevel"/>
    <w:tmpl w:val="269A3A18"/>
    <w:lvl w:ilvl="0" w:tplc="05DE6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33AAF"/>
    <w:multiLevelType w:val="hybridMultilevel"/>
    <w:tmpl w:val="5D8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F661E"/>
    <w:multiLevelType w:val="hybridMultilevel"/>
    <w:tmpl w:val="A866E566"/>
    <w:lvl w:ilvl="0" w:tplc="0EFAEC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9062C"/>
    <w:multiLevelType w:val="hybridMultilevel"/>
    <w:tmpl w:val="CE8670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B390064"/>
    <w:multiLevelType w:val="hybridMultilevel"/>
    <w:tmpl w:val="3644287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86E42F2"/>
    <w:multiLevelType w:val="hybridMultilevel"/>
    <w:tmpl w:val="E7F40B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E4E22C9"/>
    <w:multiLevelType w:val="hybridMultilevel"/>
    <w:tmpl w:val="6532B9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AB2535"/>
    <w:multiLevelType w:val="hybridMultilevel"/>
    <w:tmpl w:val="5C72D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4F0EED"/>
    <w:multiLevelType w:val="hybridMultilevel"/>
    <w:tmpl w:val="860CE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96367A"/>
    <w:multiLevelType w:val="hybridMultilevel"/>
    <w:tmpl w:val="A44C903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80D2C"/>
    <w:multiLevelType w:val="hybridMultilevel"/>
    <w:tmpl w:val="08EA6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2C3628D"/>
    <w:multiLevelType w:val="hybridMultilevel"/>
    <w:tmpl w:val="1D8E35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3C23946"/>
    <w:multiLevelType w:val="multilevel"/>
    <w:tmpl w:val="C630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1E65A7"/>
    <w:multiLevelType w:val="hybridMultilevel"/>
    <w:tmpl w:val="62443A0A"/>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8E2A3F"/>
    <w:multiLevelType w:val="hybridMultilevel"/>
    <w:tmpl w:val="A8E6E9AE"/>
    <w:lvl w:ilvl="0" w:tplc="45623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7B004D"/>
    <w:multiLevelType w:val="hybridMultilevel"/>
    <w:tmpl w:val="3A48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C2CEB"/>
    <w:multiLevelType w:val="multilevel"/>
    <w:tmpl w:val="DA9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005C0E"/>
    <w:multiLevelType w:val="hybridMultilevel"/>
    <w:tmpl w:val="FEC8031E"/>
    <w:lvl w:ilvl="0" w:tplc="0138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8076D"/>
    <w:multiLevelType w:val="hybridMultilevel"/>
    <w:tmpl w:val="43C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041E"/>
    <w:multiLevelType w:val="hybridMultilevel"/>
    <w:tmpl w:val="D006ED0E"/>
    <w:lvl w:ilvl="0" w:tplc="288CF2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9"/>
  </w:num>
  <w:num w:numId="4">
    <w:abstractNumId w:val="24"/>
  </w:num>
  <w:num w:numId="5">
    <w:abstractNumId w:val="2"/>
  </w:num>
  <w:num w:numId="6">
    <w:abstractNumId w:val="13"/>
  </w:num>
  <w:num w:numId="7">
    <w:abstractNumId w:val="3"/>
  </w:num>
  <w:num w:numId="8">
    <w:abstractNumId w:val="23"/>
  </w:num>
  <w:num w:numId="9">
    <w:abstractNumId w:val="12"/>
  </w:num>
  <w:num w:numId="10">
    <w:abstractNumId w:val="32"/>
  </w:num>
  <w:num w:numId="11">
    <w:abstractNumId w:val="8"/>
  </w:num>
  <w:num w:numId="12">
    <w:abstractNumId w:val="1"/>
  </w:num>
  <w:num w:numId="13">
    <w:abstractNumId w:val="28"/>
  </w:num>
  <w:num w:numId="14">
    <w:abstractNumId w:val="6"/>
  </w:num>
  <w:num w:numId="15">
    <w:abstractNumId w:val="11"/>
  </w:num>
  <w:num w:numId="16">
    <w:abstractNumId w:val="19"/>
  </w:num>
  <w:num w:numId="17">
    <w:abstractNumId w:val="7"/>
  </w:num>
  <w:num w:numId="18">
    <w:abstractNumId w:val="36"/>
  </w:num>
  <w:num w:numId="19">
    <w:abstractNumId w:val="18"/>
  </w:num>
  <w:num w:numId="20">
    <w:abstractNumId w:val="2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4"/>
  </w:num>
  <w:num w:numId="24">
    <w:abstractNumId w:val="9"/>
  </w:num>
  <w:num w:numId="25">
    <w:abstractNumId w:val="14"/>
  </w:num>
  <w:num w:numId="26">
    <w:abstractNumId w:val="17"/>
  </w:num>
  <w:num w:numId="27">
    <w:abstractNumId w:val="15"/>
  </w:num>
  <w:num w:numId="28">
    <w:abstractNumId w:val="33"/>
  </w:num>
  <w:num w:numId="29">
    <w:abstractNumId w:val="0"/>
  </w:num>
  <w:num w:numId="30">
    <w:abstractNumId w:val="31"/>
  </w:num>
  <w:num w:numId="31">
    <w:abstractNumId w:val="16"/>
  </w:num>
  <w:num w:numId="32">
    <w:abstractNumId w:val="40"/>
  </w:num>
  <w:num w:numId="33">
    <w:abstractNumId w:val="30"/>
  </w:num>
  <w:num w:numId="34">
    <w:abstractNumId w:val="22"/>
  </w:num>
  <w:num w:numId="35">
    <w:abstractNumId w:val="10"/>
  </w:num>
  <w:num w:numId="36">
    <w:abstractNumId w:val="38"/>
  </w:num>
  <w:num w:numId="37">
    <w:abstractNumId w:val="35"/>
  </w:num>
  <w:num w:numId="38">
    <w:abstractNumId w:val="20"/>
  </w:num>
  <w:num w:numId="39">
    <w:abstractNumId w:val="39"/>
  </w:num>
  <w:num w:numId="40">
    <w:abstractNumId w:val="37"/>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35"/>
    <w:rsid w:val="00021BE2"/>
    <w:rsid w:val="00026D20"/>
    <w:rsid w:val="000A349A"/>
    <w:rsid w:val="000B6A1E"/>
    <w:rsid w:val="0015793F"/>
    <w:rsid w:val="0018645D"/>
    <w:rsid w:val="001A32BF"/>
    <w:rsid w:val="001E104E"/>
    <w:rsid w:val="001E7F1C"/>
    <w:rsid w:val="002A000D"/>
    <w:rsid w:val="002B770B"/>
    <w:rsid w:val="002F1900"/>
    <w:rsid w:val="003119D6"/>
    <w:rsid w:val="00345EC1"/>
    <w:rsid w:val="003F4126"/>
    <w:rsid w:val="00401D3E"/>
    <w:rsid w:val="004259E1"/>
    <w:rsid w:val="00425DBD"/>
    <w:rsid w:val="00472235"/>
    <w:rsid w:val="00503226"/>
    <w:rsid w:val="00544CB9"/>
    <w:rsid w:val="005738D6"/>
    <w:rsid w:val="005A0694"/>
    <w:rsid w:val="005B6253"/>
    <w:rsid w:val="005D1427"/>
    <w:rsid w:val="00607568"/>
    <w:rsid w:val="00634F7B"/>
    <w:rsid w:val="0065327E"/>
    <w:rsid w:val="00681D5D"/>
    <w:rsid w:val="006A609D"/>
    <w:rsid w:val="006F0BA1"/>
    <w:rsid w:val="006F5F57"/>
    <w:rsid w:val="007A6A09"/>
    <w:rsid w:val="007D6573"/>
    <w:rsid w:val="007E38EA"/>
    <w:rsid w:val="007F5726"/>
    <w:rsid w:val="008B73FE"/>
    <w:rsid w:val="008E7BEF"/>
    <w:rsid w:val="008F1DCA"/>
    <w:rsid w:val="008F2F72"/>
    <w:rsid w:val="008F4572"/>
    <w:rsid w:val="00910A5D"/>
    <w:rsid w:val="00953226"/>
    <w:rsid w:val="00997F39"/>
    <w:rsid w:val="009A09BF"/>
    <w:rsid w:val="009B4E79"/>
    <w:rsid w:val="009F6E5C"/>
    <w:rsid w:val="00A55FE6"/>
    <w:rsid w:val="00AC2608"/>
    <w:rsid w:val="00B376A0"/>
    <w:rsid w:val="00BD003F"/>
    <w:rsid w:val="00BD065F"/>
    <w:rsid w:val="00BF2E21"/>
    <w:rsid w:val="00BF4625"/>
    <w:rsid w:val="00C02C97"/>
    <w:rsid w:val="00C25F6C"/>
    <w:rsid w:val="00C528D9"/>
    <w:rsid w:val="00C9033B"/>
    <w:rsid w:val="00CA517E"/>
    <w:rsid w:val="00CE58C7"/>
    <w:rsid w:val="00CF3071"/>
    <w:rsid w:val="00D4406D"/>
    <w:rsid w:val="00D756DE"/>
    <w:rsid w:val="00DA5BA8"/>
    <w:rsid w:val="00DA5BD2"/>
    <w:rsid w:val="00E45E67"/>
    <w:rsid w:val="00E66D4E"/>
    <w:rsid w:val="00F014A7"/>
    <w:rsid w:val="00F2619B"/>
    <w:rsid w:val="00F72EB7"/>
    <w:rsid w:val="00FC15EA"/>
    <w:rsid w:val="00FD6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6690D-8FA4-4000-A723-5A3A585D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35"/>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A5B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62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0A5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FD68C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2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0A349A"/>
    <w:pPr>
      <w:ind w:left="720"/>
      <w:contextualSpacing/>
    </w:pPr>
  </w:style>
  <w:style w:type="character" w:styleId="Hyperlink">
    <w:name w:val="Hyperlink"/>
    <w:basedOn w:val="DefaultParagraphFont"/>
    <w:uiPriority w:val="99"/>
    <w:unhideWhenUsed/>
    <w:rsid w:val="00425DBD"/>
    <w:rPr>
      <w:color w:val="0000FF" w:themeColor="hyperlink"/>
      <w:u w:val="single"/>
    </w:rPr>
  </w:style>
  <w:style w:type="character" w:customStyle="1" w:styleId="UnresolvedMention">
    <w:name w:val="Unresolved Mention"/>
    <w:basedOn w:val="DefaultParagraphFont"/>
    <w:uiPriority w:val="99"/>
    <w:semiHidden/>
    <w:unhideWhenUsed/>
    <w:rsid w:val="00425DBD"/>
    <w:rPr>
      <w:color w:val="808080"/>
      <w:shd w:val="clear" w:color="auto" w:fill="E6E6E6"/>
    </w:rPr>
  </w:style>
  <w:style w:type="paragraph" w:customStyle="1" w:styleId="scjnormal">
    <w:name w:val="scjnormal"/>
    <w:basedOn w:val="Normal"/>
    <w:rsid w:val="00425DBD"/>
    <w:pPr>
      <w:spacing w:before="100" w:beforeAutospacing="1" w:after="100" w:afterAutospacing="1"/>
    </w:pPr>
    <w:rPr>
      <w:rFonts w:ascii="Times New Roman" w:eastAsia="Times New Roman" w:hAnsi="Times New Roman" w:cs="Times New Roman"/>
      <w:lang w:val="en-CA" w:eastAsia="en-CA"/>
    </w:rPr>
  </w:style>
  <w:style w:type="paragraph" w:styleId="NormalWeb">
    <w:name w:val="Normal (Web)"/>
    <w:basedOn w:val="Normal"/>
    <w:uiPriority w:val="99"/>
    <w:unhideWhenUsed/>
    <w:rsid w:val="00544C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4CB9"/>
    <w:rPr>
      <w:b/>
      <w:bCs/>
    </w:rPr>
  </w:style>
  <w:style w:type="character" w:styleId="FollowedHyperlink">
    <w:name w:val="FollowedHyperlink"/>
    <w:basedOn w:val="DefaultParagraphFont"/>
    <w:uiPriority w:val="99"/>
    <w:semiHidden/>
    <w:unhideWhenUsed/>
    <w:rsid w:val="009A09BF"/>
    <w:rPr>
      <w:color w:val="800080" w:themeColor="followedHyperlink"/>
      <w:u w:val="single"/>
    </w:rPr>
  </w:style>
  <w:style w:type="character" w:styleId="Emphasis">
    <w:name w:val="Emphasis"/>
    <w:basedOn w:val="DefaultParagraphFont"/>
    <w:uiPriority w:val="20"/>
    <w:qFormat/>
    <w:rsid w:val="009A09BF"/>
    <w:rPr>
      <w:i/>
      <w:iCs/>
    </w:rPr>
  </w:style>
  <w:style w:type="character" w:customStyle="1" w:styleId="Heading4Char">
    <w:name w:val="Heading 4 Char"/>
    <w:basedOn w:val="DefaultParagraphFont"/>
    <w:link w:val="Heading4"/>
    <w:uiPriority w:val="9"/>
    <w:rsid w:val="00FD68C0"/>
    <w:rPr>
      <w:rFonts w:ascii="Times New Roman" w:eastAsia="Times New Roman" w:hAnsi="Times New Roman" w:cs="Times New Roman"/>
      <w:b/>
      <w:bCs/>
      <w:sz w:val="24"/>
      <w:szCs w:val="24"/>
      <w:lang w:val="en-US"/>
    </w:rPr>
  </w:style>
  <w:style w:type="paragraph" w:customStyle="1" w:styleId="sec">
    <w:name w:val="sec"/>
    <w:basedOn w:val="Normal"/>
    <w:rsid w:val="00FD68C0"/>
    <w:pPr>
      <w:spacing w:before="100" w:beforeAutospacing="1" w:after="100" w:afterAutospacing="1"/>
    </w:pPr>
    <w:rPr>
      <w:rFonts w:ascii="Times New Roman" w:eastAsia="Times New Roman" w:hAnsi="Times New Roman" w:cs="Times New Roman"/>
    </w:rPr>
  </w:style>
  <w:style w:type="character" w:customStyle="1" w:styleId="secnumholder">
    <w:name w:val="secnumholder"/>
    <w:basedOn w:val="DefaultParagraphFont"/>
    <w:rsid w:val="00FD68C0"/>
  </w:style>
  <w:style w:type="paragraph" w:customStyle="1" w:styleId="sub">
    <w:name w:val="sub"/>
    <w:basedOn w:val="Normal"/>
    <w:rsid w:val="00FD68C0"/>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FD68C0"/>
  </w:style>
  <w:style w:type="paragraph" w:customStyle="1" w:styleId="scjnumber">
    <w:name w:val="scjnumber"/>
    <w:basedOn w:val="Normal"/>
    <w:rsid w:val="003F4126"/>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3F4126"/>
  </w:style>
  <w:style w:type="character" w:customStyle="1" w:styleId="reflex3-alt">
    <w:name w:val="reflex3-alt"/>
    <w:basedOn w:val="DefaultParagraphFont"/>
    <w:rsid w:val="003F4126"/>
  </w:style>
  <w:style w:type="paragraph" w:customStyle="1" w:styleId="scjquote">
    <w:name w:val="scjquote"/>
    <w:basedOn w:val="Normal"/>
    <w:rsid w:val="003F4126"/>
    <w:pPr>
      <w:spacing w:before="100" w:beforeAutospacing="1" w:after="100" w:afterAutospacing="1"/>
    </w:pPr>
    <w:rPr>
      <w:rFonts w:ascii="Times New Roman" w:eastAsia="Times New Roman" w:hAnsi="Times New Roman" w:cs="Times New Roman"/>
    </w:rPr>
  </w:style>
  <w:style w:type="character" w:customStyle="1" w:styleId="solext0">
    <w:name w:val="solext0"/>
    <w:basedOn w:val="DefaultParagraphFont"/>
    <w:rsid w:val="003F4126"/>
  </w:style>
  <w:style w:type="character" w:customStyle="1" w:styleId="Heading3Char">
    <w:name w:val="Heading 3 Char"/>
    <w:basedOn w:val="DefaultParagraphFont"/>
    <w:link w:val="Heading3"/>
    <w:uiPriority w:val="9"/>
    <w:semiHidden/>
    <w:rsid w:val="00910A5D"/>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C9033B"/>
    <w:pPr>
      <w:tabs>
        <w:tab w:val="center" w:pos="4680"/>
        <w:tab w:val="right" w:pos="9360"/>
      </w:tabs>
    </w:pPr>
  </w:style>
  <w:style w:type="character" w:customStyle="1" w:styleId="HeaderChar">
    <w:name w:val="Header Char"/>
    <w:basedOn w:val="DefaultParagraphFont"/>
    <w:link w:val="Header"/>
    <w:uiPriority w:val="99"/>
    <w:rsid w:val="00C9033B"/>
    <w:rPr>
      <w:rFonts w:eastAsiaTheme="minorEastAsia"/>
      <w:sz w:val="24"/>
      <w:szCs w:val="24"/>
      <w:lang w:val="en-US"/>
    </w:rPr>
  </w:style>
  <w:style w:type="paragraph" w:styleId="Footer">
    <w:name w:val="footer"/>
    <w:basedOn w:val="Normal"/>
    <w:link w:val="FooterChar"/>
    <w:uiPriority w:val="99"/>
    <w:unhideWhenUsed/>
    <w:rsid w:val="00C9033B"/>
    <w:pPr>
      <w:tabs>
        <w:tab w:val="center" w:pos="4680"/>
        <w:tab w:val="right" w:pos="9360"/>
      </w:tabs>
    </w:pPr>
  </w:style>
  <w:style w:type="character" w:customStyle="1" w:styleId="FooterChar">
    <w:name w:val="Footer Char"/>
    <w:basedOn w:val="DefaultParagraphFont"/>
    <w:link w:val="Footer"/>
    <w:uiPriority w:val="99"/>
    <w:rsid w:val="00C9033B"/>
    <w:rPr>
      <w:rFonts w:eastAsiaTheme="minorEastAsia"/>
      <w:sz w:val="24"/>
      <w:szCs w:val="24"/>
      <w:lang w:val="en-US"/>
    </w:rPr>
  </w:style>
  <w:style w:type="paragraph" w:customStyle="1" w:styleId="def">
    <w:name w:val="def"/>
    <w:basedOn w:val="Normal"/>
    <w:rsid w:val="00681D5D"/>
    <w:pPr>
      <w:spacing w:before="100" w:beforeAutospacing="1" w:after="100" w:afterAutospacing="1"/>
    </w:pPr>
    <w:rPr>
      <w:rFonts w:ascii="Times New Roman" w:eastAsia="Times New Roman" w:hAnsi="Times New Roman" w:cs="Times New Roman"/>
    </w:rPr>
  </w:style>
  <w:style w:type="character" w:customStyle="1" w:styleId="normal-bold-style">
    <w:name w:val="normal-bold-style"/>
    <w:basedOn w:val="DefaultParagraphFont"/>
    <w:rsid w:val="00681D5D"/>
  </w:style>
  <w:style w:type="character" w:customStyle="1" w:styleId="double-quotes">
    <w:name w:val="double-quotes"/>
    <w:basedOn w:val="DefaultParagraphFont"/>
    <w:rsid w:val="00681D5D"/>
  </w:style>
  <w:style w:type="paragraph" w:customStyle="1" w:styleId="para">
    <w:name w:val="para"/>
    <w:basedOn w:val="Normal"/>
    <w:rsid w:val="00681D5D"/>
    <w:pPr>
      <w:spacing w:before="100" w:beforeAutospacing="1" w:after="100" w:afterAutospacing="1"/>
    </w:pPr>
    <w:rPr>
      <w:rFonts w:ascii="Times New Roman" w:eastAsia="Times New Roman" w:hAnsi="Times New Roman" w:cs="Times New Roman"/>
    </w:rPr>
  </w:style>
  <w:style w:type="paragraph" w:customStyle="1" w:styleId="subpara">
    <w:name w:val="subpara"/>
    <w:basedOn w:val="Normal"/>
    <w:rsid w:val="00681D5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B6253"/>
    <w:rPr>
      <w:rFonts w:asciiTheme="majorHAnsi" w:eastAsiaTheme="majorEastAsia" w:hAnsiTheme="majorHAnsi" w:cstheme="majorBidi"/>
      <w:color w:val="365F91" w:themeColor="accent1" w:themeShade="BF"/>
      <w:sz w:val="26"/>
      <w:szCs w:val="26"/>
      <w:lang w:val="en-US"/>
    </w:rPr>
  </w:style>
  <w:style w:type="paragraph" w:customStyle="1" w:styleId="SCJQuote0">
    <w:name w:val="SCJ Quote"/>
    <w:basedOn w:val="Normal"/>
    <w:rsid w:val="005B6253"/>
    <w:pPr>
      <w:spacing w:after="120"/>
      <w:ind w:left="720" w:right="720"/>
    </w:pPr>
    <w:rPr>
      <w:rFonts w:ascii="Arial" w:eastAsia="Times New Roman" w:hAnsi="Arial" w:cs="Arial"/>
      <w:sz w:val="22"/>
      <w:szCs w:val="22"/>
    </w:rPr>
  </w:style>
  <w:style w:type="paragraph" w:customStyle="1" w:styleId="SCJNumber0">
    <w:name w:val="SCJ Number"/>
    <w:basedOn w:val="Normal"/>
    <w:rsid w:val="005B6253"/>
    <w:pPr>
      <w:spacing w:after="240" w:line="360" w:lineRule="auto"/>
    </w:pPr>
    <w:rPr>
      <w:rFonts w:ascii="Arial" w:eastAsia="Times New Roman" w:hAnsi="Arial" w:cs="Arial"/>
    </w:rPr>
  </w:style>
  <w:style w:type="character" w:customStyle="1" w:styleId="rulenoholder">
    <w:name w:val="rulenoholder"/>
    <w:basedOn w:val="DefaultParagraphFont"/>
    <w:rsid w:val="005B6253"/>
  </w:style>
  <w:style w:type="character" w:customStyle="1" w:styleId="ssbf">
    <w:name w:val="ss_bf"/>
    <w:basedOn w:val="DefaultParagraphFont"/>
    <w:rsid w:val="0015793F"/>
  </w:style>
  <w:style w:type="character" w:customStyle="1" w:styleId="ez-toc-section">
    <w:name w:val="ez-toc-section"/>
    <w:basedOn w:val="DefaultParagraphFont"/>
    <w:rsid w:val="00BF4625"/>
  </w:style>
  <w:style w:type="character" w:customStyle="1" w:styleId="Heading1Char">
    <w:name w:val="Heading 1 Char"/>
    <w:basedOn w:val="DefaultParagraphFont"/>
    <w:link w:val="Heading1"/>
    <w:uiPriority w:val="9"/>
    <w:rsid w:val="00DA5BD2"/>
    <w:rPr>
      <w:rFonts w:asciiTheme="majorHAnsi" w:eastAsiaTheme="majorEastAsia" w:hAnsiTheme="majorHAnsi" w:cstheme="majorBidi"/>
      <w:color w:val="365F91" w:themeColor="accent1" w:themeShade="BF"/>
      <w:sz w:val="32"/>
      <w:szCs w:val="32"/>
      <w:lang w:val="en-US"/>
    </w:rPr>
  </w:style>
  <w:style w:type="paragraph" w:customStyle="1" w:styleId="custom-rteelement-firstparagraph">
    <w:name w:val="custom-rteelement-firstparagraph"/>
    <w:basedOn w:val="Normal"/>
    <w:rsid w:val="00DA5BD2"/>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uiPriority w:val="99"/>
    <w:qFormat/>
    <w:rsid w:val="00F2619B"/>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F2619B"/>
    <w:rPr>
      <w:rFonts w:ascii="Arial" w:eastAsia="Times New Roman" w:hAnsi="Arial" w:cs="Arial"/>
      <w:b/>
      <w:sz w:val="36"/>
      <w:szCs w:val="20"/>
      <w:lang w:val="en-US"/>
    </w:rPr>
  </w:style>
  <w:style w:type="table" w:styleId="TableGrid">
    <w:name w:val="Table Grid"/>
    <w:basedOn w:val="TableNormal"/>
    <w:uiPriority w:val="59"/>
    <w:rsid w:val="00F2619B"/>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2498">
      <w:bodyDiv w:val="1"/>
      <w:marLeft w:val="0"/>
      <w:marRight w:val="0"/>
      <w:marTop w:val="0"/>
      <w:marBottom w:val="0"/>
      <w:divBdr>
        <w:top w:val="none" w:sz="0" w:space="0" w:color="auto"/>
        <w:left w:val="none" w:sz="0" w:space="0" w:color="auto"/>
        <w:bottom w:val="none" w:sz="0" w:space="0" w:color="auto"/>
        <w:right w:val="none" w:sz="0" w:space="0" w:color="auto"/>
      </w:divBdr>
    </w:div>
    <w:div w:id="117919787">
      <w:bodyDiv w:val="1"/>
      <w:marLeft w:val="0"/>
      <w:marRight w:val="0"/>
      <w:marTop w:val="0"/>
      <w:marBottom w:val="0"/>
      <w:divBdr>
        <w:top w:val="none" w:sz="0" w:space="0" w:color="auto"/>
        <w:left w:val="none" w:sz="0" w:space="0" w:color="auto"/>
        <w:bottom w:val="none" w:sz="0" w:space="0" w:color="auto"/>
        <w:right w:val="none" w:sz="0" w:space="0" w:color="auto"/>
      </w:divBdr>
    </w:div>
    <w:div w:id="138152109">
      <w:bodyDiv w:val="1"/>
      <w:marLeft w:val="0"/>
      <w:marRight w:val="0"/>
      <w:marTop w:val="0"/>
      <w:marBottom w:val="0"/>
      <w:divBdr>
        <w:top w:val="none" w:sz="0" w:space="0" w:color="auto"/>
        <w:left w:val="none" w:sz="0" w:space="0" w:color="auto"/>
        <w:bottom w:val="none" w:sz="0" w:space="0" w:color="auto"/>
        <w:right w:val="none" w:sz="0" w:space="0" w:color="auto"/>
      </w:divBdr>
    </w:div>
    <w:div w:id="183442173">
      <w:bodyDiv w:val="1"/>
      <w:marLeft w:val="0"/>
      <w:marRight w:val="0"/>
      <w:marTop w:val="0"/>
      <w:marBottom w:val="0"/>
      <w:divBdr>
        <w:top w:val="none" w:sz="0" w:space="0" w:color="auto"/>
        <w:left w:val="none" w:sz="0" w:space="0" w:color="auto"/>
        <w:bottom w:val="none" w:sz="0" w:space="0" w:color="auto"/>
        <w:right w:val="none" w:sz="0" w:space="0" w:color="auto"/>
      </w:divBdr>
    </w:div>
    <w:div w:id="217251960">
      <w:bodyDiv w:val="1"/>
      <w:marLeft w:val="0"/>
      <w:marRight w:val="0"/>
      <w:marTop w:val="0"/>
      <w:marBottom w:val="0"/>
      <w:divBdr>
        <w:top w:val="none" w:sz="0" w:space="0" w:color="auto"/>
        <w:left w:val="none" w:sz="0" w:space="0" w:color="auto"/>
        <w:bottom w:val="none" w:sz="0" w:space="0" w:color="auto"/>
        <w:right w:val="none" w:sz="0" w:space="0" w:color="auto"/>
      </w:divBdr>
    </w:div>
    <w:div w:id="296960212">
      <w:bodyDiv w:val="1"/>
      <w:marLeft w:val="0"/>
      <w:marRight w:val="0"/>
      <w:marTop w:val="0"/>
      <w:marBottom w:val="0"/>
      <w:divBdr>
        <w:top w:val="none" w:sz="0" w:space="0" w:color="auto"/>
        <w:left w:val="none" w:sz="0" w:space="0" w:color="auto"/>
        <w:bottom w:val="none" w:sz="0" w:space="0" w:color="auto"/>
        <w:right w:val="none" w:sz="0" w:space="0" w:color="auto"/>
      </w:divBdr>
    </w:div>
    <w:div w:id="299923612">
      <w:bodyDiv w:val="1"/>
      <w:marLeft w:val="0"/>
      <w:marRight w:val="0"/>
      <w:marTop w:val="0"/>
      <w:marBottom w:val="0"/>
      <w:divBdr>
        <w:top w:val="none" w:sz="0" w:space="0" w:color="auto"/>
        <w:left w:val="none" w:sz="0" w:space="0" w:color="auto"/>
        <w:bottom w:val="none" w:sz="0" w:space="0" w:color="auto"/>
        <w:right w:val="none" w:sz="0" w:space="0" w:color="auto"/>
      </w:divBdr>
    </w:div>
    <w:div w:id="334963160">
      <w:bodyDiv w:val="1"/>
      <w:marLeft w:val="0"/>
      <w:marRight w:val="0"/>
      <w:marTop w:val="0"/>
      <w:marBottom w:val="0"/>
      <w:divBdr>
        <w:top w:val="none" w:sz="0" w:space="0" w:color="auto"/>
        <w:left w:val="none" w:sz="0" w:space="0" w:color="auto"/>
        <w:bottom w:val="none" w:sz="0" w:space="0" w:color="auto"/>
        <w:right w:val="none" w:sz="0" w:space="0" w:color="auto"/>
      </w:divBdr>
    </w:div>
    <w:div w:id="341397268">
      <w:bodyDiv w:val="1"/>
      <w:marLeft w:val="0"/>
      <w:marRight w:val="0"/>
      <w:marTop w:val="0"/>
      <w:marBottom w:val="0"/>
      <w:divBdr>
        <w:top w:val="none" w:sz="0" w:space="0" w:color="auto"/>
        <w:left w:val="none" w:sz="0" w:space="0" w:color="auto"/>
        <w:bottom w:val="none" w:sz="0" w:space="0" w:color="auto"/>
        <w:right w:val="none" w:sz="0" w:space="0" w:color="auto"/>
      </w:divBdr>
    </w:div>
    <w:div w:id="356010149">
      <w:bodyDiv w:val="1"/>
      <w:marLeft w:val="0"/>
      <w:marRight w:val="0"/>
      <w:marTop w:val="0"/>
      <w:marBottom w:val="0"/>
      <w:divBdr>
        <w:top w:val="none" w:sz="0" w:space="0" w:color="auto"/>
        <w:left w:val="none" w:sz="0" w:space="0" w:color="auto"/>
        <w:bottom w:val="none" w:sz="0" w:space="0" w:color="auto"/>
        <w:right w:val="none" w:sz="0" w:space="0" w:color="auto"/>
      </w:divBdr>
    </w:div>
    <w:div w:id="430784241">
      <w:bodyDiv w:val="1"/>
      <w:marLeft w:val="0"/>
      <w:marRight w:val="0"/>
      <w:marTop w:val="0"/>
      <w:marBottom w:val="0"/>
      <w:divBdr>
        <w:top w:val="none" w:sz="0" w:space="0" w:color="auto"/>
        <w:left w:val="none" w:sz="0" w:space="0" w:color="auto"/>
        <w:bottom w:val="none" w:sz="0" w:space="0" w:color="auto"/>
        <w:right w:val="none" w:sz="0" w:space="0" w:color="auto"/>
      </w:divBdr>
    </w:div>
    <w:div w:id="499346531">
      <w:bodyDiv w:val="1"/>
      <w:marLeft w:val="0"/>
      <w:marRight w:val="0"/>
      <w:marTop w:val="0"/>
      <w:marBottom w:val="0"/>
      <w:divBdr>
        <w:top w:val="none" w:sz="0" w:space="0" w:color="auto"/>
        <w:left w:val="none" w:sz="0" w:space="0" w:color="auto"/>
        <w:bottom w:val="none" w:sz="0" w:space="0" w:color="auto"/>
        <w:right w:val="none" w:sz="0" w:space="0" w:color="auto"/>
      </w:divBdr>
    </w:div>
    <w:div w:id="523246479">
      <w:bodyDiv w:val="1"/>
      <w:marLeft w:val="0"/>
      <w:marRight w:val="0"/>
      <w:marTop w:val="0"/>
      <w:marBottom w:val="0"/>
      <w:divBdr>
        <w:top w:val="none" w:sz="0" w:space="0" w:color="auto"/>
        <w:left w:val="none" w:sz="0" w:space="0" w:color="auto"/>
        <w:bottom w:val="none" w:sz="0" w:space="0" w:color="auto"/>
        <w:right w:val="none" w:sz="0" w:space="0" w:color="auto"/>
      </w:divBdr>
    </w:div>
    <w:div w:id="575824324">
      <w:bodyDiv w:val="1"/>
      <w:marLeft w:val="0"/>
      <w:marRight w:val="0"/>
      <w:marTop w:val="0"/>
      <w:marBottom w:val="0"/>
      <w:divBdr>
        <w:top w:val="none" w:sz="0" w:space="0" w:color="auto"/>
        <w:left w:val="none" w:sz="0" w:space="0" w:color="auto"/>
        <w:bottom w:val="none" w:sz="0" w:space="0" w:color="auto"/>
        <w:right w:val="none" w:sz="0" w:space="0" w:color="auto"/>
      </w:divBdr>
    </w:div>
    <w:div w:id="630014795">
      <w:bodyDiv w:val="1"/>
      <w:marLeft w:val="0"/>
      <w:marRight w:val="0"/>
      <w:marTop w:val="0"/>
      <w:marBottom w:val="0"/>
      <w:divBdr>
        <w:top w:val="none" w:sz="0" w:space="0" w:color="auto"/>
        <w:left w:val="none" w:sz="0" w:space="0" w:color="auto"/>
        <w:bottom w:val="none" w:sz="0" w:space="0" w:color="auto"/>
        <w:right w:val="none" w:sz="0" w:space="0" w:color="auto"/>
      </w:divBdr>
    </w:div>
    <w:div w:id="633369541">
      <w:bodyDiv w:val="1"/>
      <w:marLeft w:val="0"/>
      <w:marRight w:val="0"/>
      <w:marTop w:val="0"/>
      <w:marBottom w:val="0"/>
      <w:divBdr>
        <w:top w:val="none" w:sz="0" w:space="0" w:color="auto"/>
        <w:left w:val="none" w:sz="0" w:space="0" w:color="auto"/>
        <w:bottom w:val="none" w:sz="0" w:space="0" w:color="auto"/>
        <w:right w:val="none" w:sz="0" w:space="0" w:color="auto"/>
      </w:divBdr>
    </w:div>
    <w:div w:id="643705046">
      <w:bodyDiv w:val="1"/>
      <w:marLeft w:val="0"/>
      <w:marRight w:val="0"/>
      <w:marTop w:val="0"/>
      <w:marBottom w:val="0"/>
      <w:divBdr>
        <w:top w:val="none" w:sz="0" w:space="0" w:color="auto"/>
        <w:left w:val="none" w:sz="0" w:space="0" w:color="auto"/>
        <w:bottom w:val="none" w:sz="0" w:space="0" w:color="auto"/>
        <w:right w:val="none" w:sz="0" w:space="0" w:color="auto"/>
      </w:divBdr>
    </w:div>
    <w:div w:id="710032709">
      <w:bodyDiv w:val="1"/>
      <w:marLeft w:val="0"/>
      <w:marRight w:val="0"/>
      <w:marTop w:val="0"/>
      <w:marBottom w:val="0"/>
      <w:divBdr>
        <w:top w:val="none" w:sz="0" w:space="0" w:color="auto"/>
        <w:left w:val="none" w:sz="0" w:space="0" w:color="auto"/>
        <w:bottom w:val="none" w:sz="0" w:space="0" w:color="auto"/>
        <w:right w:val="none" w:sz="0" w:space="0" w:color="auto"/>
      </w:divBdr>
    </w:div>
    <w:div w:id="755635704">
      <w:bodyDiv w:val="1"/>
      <w:marLeft w:val="0"/>
      <w:marRight w:val="0"/>
      <w:marTop w:val="0"/>
      <w:marBottom w:val="0"/>
      <w:divBdr>
        <w:top w:val="none" w:sz="0" w:space="0" w:color="auto"/>
        <w:left w:val="none" w:sz="0" w:space="0" w:color="auto"/>
        <w:bottom w:val="none" w:sz="0" w:space="0" w:color="auto"/>
        <w:right w:val="none" w:sz="0" w:space="0" w:color="auto"/>
      </w:divBdr>
    </w:div>
    <w:div w:id="781653007">
      <w:bodyDiv w:val="1"/>
      <w:marLeft w:val="0"/>
      <w:marRight w:val="0"/>
      <w:marTop w:val="0"/>
      <w:marBottom w:val="0"/>
      <w:divBdr>
        <w:top w:val="none" w:sz="0" w:space="0" w:color="auto"/>
        <w:left w:val="none" w:sz="0" w:space="0" w:color="auto"/>
        <w:bottom w:val="none" w:sz="0" w:space="0" w:color="auto"/>
        <w:right w:val="none" w:sz="0" w:space="0" w:color="auto"/>
      </w:divBdr>
    </w:div>
    <w:div w:id="793330475">
      <w:bodyDiv w:val="1"/>
      <w:marLeft w:val="0"/>
      <w:marRight w:val="0"/>
      <w:marTop w:val="0"/>
      <w:marBottom w:val="0"/>
      <w:divBdr>
        <w:top w:val="none" w:sz="0" w:space="0" w:color="auto"/>
        <w:left w:val="none" w:sz="0" w:space="0" w:color="auto"/>
        <w:bottom w:val="none" w:sz="0" w:space="0" w:color="auto"/>
        <w:right w:val="none" w:sz="0" w:space="0" w:color="auto"/>
      </w:divBdr>
    </w:div>
    <w:div w:id="806241759">
      <w:bodyDiv w:val="1"/>
      <w:marLeft w:val="0"/>
      <w:marRight w:val="0"/>
      <w:marTop w:val="0"/>
      <w:marBottom w:val="0"/>
      <w:divBdr>
        <w:top w:val="none" w:sz="0" w:space="0" w:color="auto"/>
        <w:left w:val="none" w:sz="0" w:space="0" w:color="auto"/>
        <w:bottom w:val="none" w:sz="0" w:space="0" w:color="auto"/>
        <w:right w:val="none" w:sz="0" w:space="0" w:color="auto"/>
      </w:divBdr>
    </w:div>
    <w:div w:id="818545313">
      <w:bodyDiv w:val="1"/>
      <w:marLeft w:val="0"/>
      <w:marRight w:val="0"/>
      <w:marTop w:val="0"/>
      <w:marBottom w:val="0"/>
      <w:divBdr>
        <w:top w:val="none" w:sz="0" w:space="0" w:color="auto"/>
        <w:left w:val="none" w:sz="0" w:space="0" w:color="auto"/>
        <w:bottom w:val="none" w:sz="0" w:space="0" w:color="auto"/>
        <w:right w:val="none" w:sz="0" w:space="0" w:color="auto"/>
      </w:divBdr>
    </w:div>
    <w:div w:id="911086535">
      <w:bodyDiv w:val="1"/>
      <w:marLeft w:val="0"/>
      <w:marRight w:val="0"/>
      <w:marTop w:val="0"/>
      <w:marBottom w:val="0"/>
      <w:divBdr>
        <w:top w:val="none" w:sz="0" w:space="0" w:color="auto"/>
        <w:left w:val="none" w:sz="0" w:space="0" w:color="auto"/>
        <w:bottom w:val="none" w:sz="0" w:space="0" w:color="auto"/>
        <w:right w:val="none" w:sz="0" w:space="0" w:color="auto"/>
      </w:divBdr>
    </w:div>
    <w:div w:id="921449028">
      <w:bodyDiv w:val="1"/>
      <w:marLeft w:val="0"/>
      <w:marRight w:val="0"/>
      <w:marTop w:val="0"/>
      <w:marBottom w:val="0"/>
      <w:divBdr>
        <w:top w:val="none" w:sz="0" w:space="0" w:color="auto"/>
        <w:left w:val="none" w:sz="0" w:space="0" w:color="auto"/>
        <w:bottom w:val="none" w:sz="0" w:space="0" w:color="auto"/>
        <w:right w:val="none" w:sz="0" w:space="0" w:color="auto"/>
      </w:divBdr>
    </w:div>
    <w:div w:id="952056695">
      <w:bodyDiv w:val="1"/>
      <w:marLeft w:val="0"/>
      <w:marRight w:val="0"/>
      <w:marTop w:val="0"/>
      <w:marBottom w:val="0"/>
      <w:divBdr>
        <w:top w:val="none" w:sz="0" w:space="0" w:color="auto"/>
        <w:left w:val="none" w:sz="0" w:space="0" w:color="auto"/>
        <w:bottom w:val="none" w:sz="0" w:space="0" w:color="auto"/>
        <w:right w:val="none" w:sz="0" w:space="0" w:color="auto"/>
      </w:divBdr>
    </w:div>
    <w:div w:id="962351016">
      <w:bodyDiv w:val="1"/>
      <w:marLeft w:val="0"/>
      <w:marRight w:val="0"/>
      <w:marTop w:val="0"/>
      <w:marBottom w:val="0"/>
      <w:divBdr>
        <w:top w:val="none" w:sz="0" w:space="0" w:color="auto"/>
        <w:left w:val="none" w:sz="0" w:space="0" w:color="auto"/>
        <w:bottom w:val="none" w:sz="0" w:space="0" w:color="auto"/>
        <w:right w:val="none" w:sz="0" w:space="0" w:color="auto"/>
      </w:divBdr>
    </w:div>
    <w:div w:id="968785162">
      <w:bodyDiv w:val="1"/>
      <w:marLeft w:val="0"/>
      <w:marRight w:val="0"/>
      <w:marTop w:val="0"/>
      <w:marBottom w:val="0"/>
      <w:divBdr>
        <w:top w:val="none" w:sz="0" w:space="0" w:color="auto"/>
        <w:left w:val="none" w:sz="0" w:space="0" w:color="auto"/>
        <w:bottom w:val="none" w:sz="0" w:space="0" w:color="auto"/>
        <w:right w:val="none" w:sz="0" w:space="0" w:color="auto"/>
      </w:divBdr>
    </w:div>
    <w:div w:id="980503099">
      <w:bodyDiv w:val="1"/>
      <w:marLeft w:val="0"/>
      <w:marRight w:val="0"/>
      <w:marTop w:val="0"/>
      <w:marBottom w:val="0"/>
      <w:divBdr>
        <w:top w:val="none" w:sz="0" w:space="0" w:color="auto"/>
        <w:left w:val="none" w:sz="0" w:space="0" w:color="auto"/>
        <w:bottom w:val="none" w:sz="0" w:space="0" w:color="auto"/>
        <w:right w:val="none" w:sz="0" w:space="0" w:color="auto"/>
      </w:divBdr>
    </w:div>
    <w:div w:id="999117076">
      <w:bodyDiv w:val="1"/>
      <w:marLeft w:val="0"/>
      <w:marRight w:val="0"/>
      <w:marTop w:val="0"/>
      <w:marBottom w:val="0"/>
      <w:divBdr>
        <w:top w:val="none" w:sz="0" w:space="0" w:color="auto"/>
        <w:left w:val="none" w:sz="0" w:space="0" w:color="auto"/>
        <w:bottom w:val="none" w:sz="0" w:space="0" w:color="auto"/>
        <w:right w:val="none" w:sz="0" w:space="0" w:color="auto"/>
      </w:divBdr>
    </w:div>
    <w:div w:id="1028869890">
      <w:bodyDiv w:val="1"/>
      <w:marLeft w:val="0"/>
      <w:marRight w:val="0"/>
      <w:marTop w:val="0"/>
      <w:marBottom w:val="0"/>
      <w:divBdr>
        <w:top w:val="none" w:sz="0" w:space="0" w:color="auto"/>
        <w:left w:val="none" w:sz="0" w:space="0" w:color="auto"/>
        <w:bottom w:val="none" w:sz="0" w:space="0" w:color="auto"/>
        <w:right w:val="none" w:sz="0" w:space="0" w:color="auto"/>
      </w:divBdr>
    </w:div>
    <w:div w:id="1055086490">
      <w:bodyDiv w:val="1"/>
      <w:marLeft w:val="0"/>
      <w:marRight w:val="0"/>
      <w:marTop w:val="0"/>
      <w:marBottom w:val="0"/>
      <w:divBdr>
        <w:top w:val="none" w:sz="0" w:space="0" w:color="auto"/>
        <w:left w:val="none" w:sz="0" w:space="0" w:color="auto"/>
        <w:bottom w:val="none" w:sz="0" w:space="0" w:color="auto"/>
        <w:right w:val="none" w:sz="0" w:space="0" w:color="auto"/>
      </w:divBdr>
      <w:divsChild>
        <w:div w:id="1442451095">
          <w:marLeft w:val="0"/>
          <w:marRight w:val="0"/>
          <w:marTop w:val="0"/>
          <w:marBottom w:val="0"/>
          <w:divBdr>
            <w:top w:val="none" w:sz="0" w:space="0" w:color="auto"/>
            <w:left w:val="none" w:sz="0" w:space="0" w:color="auto"/>
            <w:bottom w:val="none" w:sz="0" w:space="0" w:color="auto"/>
            <w:right w:val="none" w:sz="0" w:space="0" w:color="auto"/>
          </w:divBdr>
          <w:divsChild>
            <w:div w:id="840240274">
              <w:marLeft w:val="0"/>
              <w:marRight w:val="0"/>
              <w:marTop w:val="0"/>
              <w:marBottom w:val="0"/>
              <w:divBdr>
                <w:top w:val="none" w:sz="0" w:space="0" w:color="auto"/>
                <w:left w:val="none" w:sz="0" w:space="0" w:color="auto"/>
                <w:bottom w:val="none" w:sz="0" w:space="0" w:color="auto"/>
                <w:right w:val="none" w:sz="0" w:space="0" w:color="auto"/>
              </w:divBdr>
              <w:divsChild>
                <w:div w:id="274558138">
                  <w:marLeft w:val="0"/>
                  <w:marRight w:val="0"/>
                  <w:marTop w:val="0"/>
                  <w:marBottom w:val="0"/>
                  <w:divBdr>
                    <w:top w:val="none" w:sz="0" w:space="0" w:color="auto"/>
                    <w:left w:val="none" w:sz="0" w:space="0" w:color="auto"/>
                    <w:bottom w:val="none" w:sz="0" w:space="0" w:color="auto"/>
                    <w:right w:val="none" w:sz="0" w:space="0" w:color="auto"/>
                  </w:divBdr>
                  <w:divsChild>
                    <w:div w:id="1181553726">
                      <w:marLeft w:val="0"/>
                      <w:marRight w:val="-300"/>
                      <w:marTop w:val="0"/>
                      <w:marBottom w:val="150"/>
                      <w:divBdr>
                        <w:top w:val="none" w:sz="0" w:space="0" w:color="auto"/>
                        <w:left w:val="none" w:sz="0" w:space="0" w:color="auto"/>
                        <w:bottom w:val="none" w:sz="0" w:space="0" w:color="auto"/>
                        <w:right w:val="none" w:sz="0" w:space="0" w:color="auto"/>
                      </w:divBdr>
                      <w:divsChild>
                        <w:div w:id="21247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49044">
      <w:bodyDiv w:val="1"/>
      <w:marLeft w:val="0"/>
      <w:marRight w:val="0"/>
      <w:marTop w:val="0"/>
      <w:marBottom w:val="0"/>
      <w:divBdr>
        <w:top w:val="none" w:sz="0" w:space="0" w:color="auto"/>
        <w:left w:val="none" w:sz="0" w:space="0" w:color="auto"/>
        <w:bottom w:val="none" w:sz="0" w:space="0" w:color="auto"/>
        <w:right w:val="none" w:sz="0" w:space="0" w:color="auto"/>
      </w:divBdr>
    </w:div>
    <w:div w:id="1191260024">
      <w:bodyDiv w:val="1"/>
      <w:marLeft w:val="0"/>
      <w:marRight w:val="0"/>
      <w:marTop w:val="0"/>
      <w:marBottom w:val="0"/>
      <w:divBdr>
        <w:top w:val="none" w:sz="0" w:space="0" w:color="auto"/>
        <w:left w:val="none" w:sz="0" w:space="0" w:color="auto"/>
        <w:bottom w:val="none" w:sz="0" w:space="0" w:color="auto"/>
        <w:right w:val="none" w:sz="0" w:space="0" w:color="auto"/>
      </w:divBdr>
    </w:div>
    <w:div w:id="1223254042">
      <w:bodyDiv w:val="1"/>
      <w:marLeft w:val="0"/>
      <w:marRight w:val="0"/>
      <w:marTop w:val="0"/>
      <w:marBottom w:val="0"/>
      <w:divBdr>
        <w:top w:val="none" w:sz="0" w:space="0" w:color="auto"/>
        <w:left w:val="none" w:sz="0" w:space="0" w:color="auto"/>
        <w:bottom w:val="none" w:sz="0" w:space="0" w:color="auto"/>
        <w:right w:val="none" w:sz="0" w:space="0" w:color="auto"/>
      </w:divBdr>
    </w:div>
    <w:div w:id="1242177856">
      <w:bodyDiv w:val="1"/>
      <w:marLeft w:val="0"/>
      <w:marRight w:val="0"/>
      <w:marTop w:val="0"/>
      <w:marBottom w:val="0"/>
      <w:divBdr>
        <w:top w:val="none" w:sz="0" w:space="0" w:color="auto"/>
        <w:left w:val="none" w:sz="0" w:space="0" w:color="auto"/>
        <w:bottom w:val="none" w:sz="0" w:space="0" w:color="auto"/>
        <w:right w:val="none" w:sz="0" w:space="0" w:color="auto"/>
      </w:divBdr>
    </w:div>
    <w:div w:id="1252349538">
      <w:bodyDiv w:val="1"/>
      <w:marLeft w:val="0"/>
      <w:marRight w:val="0"/>
      <w:marTop w:val="0"/>
      <w:marBottom w:val="0"/>
      <w:divBdr>
        <w:top w:val="none" w:sz="0" w:space="0" w:color="auto"/>
        <w:left w:val="none" w:sz="0" w:space="0" w:color="auto"/>
        <w:bottom w:val="none" w:sz="0" w:space="0" w:color="auto"/>
        <w:right w:val="none" w:sz="0" w:space="0" w:color="auto"/>
      </w:divBdr>
    </w:div>
    <w:div w:id="1271085473">
      <w:bodyDiv w:val="1"/>
      <w:marLeft w:val="0"/>
      <w:marRight w:val="0"/>
      <w:marTop w:val="0"/>
      <w:marBottom w:val="0"/>
      <w:divBdr>
        <w:top w:val="none" w:sz="0" w:space="0" w:color="auto"/>
        <w:left w:val="none" w:sz="0" w:space="0" w:color="auto"/>
        <w:bottom w:val="none" w:sz="0" w:space="0" w:color="auto"/>
        <w:right w:val="none" w:sz="0" w:space="0" w:color="auto"/>
      </w:divBdr>
    </w:div>
    <w:div w:id="1287661259">
      <w:bodyDiv w:val="1"/>
      <w:marLeft w:val="0"/>
      <w:marRight w:val="0"/>
      <w:marTop w:val="0"/>
      <w:marBottom w:val="0"/>
      <w:divBdr>
        <w:top w:val="none" w:sz="0" w:space="0" w:color="auto"/>
        <w:left w:val="none" w:sz="0" w:space="0" w:color="auto"/>
        <w:bottom w:val="none" w:sz="0" w:space="0" w:color="auto"/>
        <w:right w:val="none" w:sz="0" w:space="0" w:color="auto"/>
      </w:divBdr>
    </w:div>
    <w:div w:id="1316640487">
      <w:bodyDiv w:val="1"/>
      <w:marLeft w:val="0"/>
      <w:marRight w:val="0"/>
      <w:marTop w:val="0"/>
      <w:marBottom w:val="0"/>
      <w:divBdr>
        <w:top w:val="none" w:sz="0" w:space="0" w:color="auto"/>
        <w:left w:val="none" w:sz="0" w:space="0" w:color="auto"/>
        <w:bottom w:val="none" w:sz="0" w:space="0" w:color="auto"/>
        <w:right w:val="none" w:sz="0" w:space="0" w:color="auto"/>
      </w:divBdr>
    </w:div>
    <w:div w:id="1322780427">
      <w:bodyDiv w:val="1"/>
      <w:marLeft w:val="0"/>
      <w:marRight w:val="0"/>
      <w:marTop w:val="0"/>
      <w:marBottom w:val="0"/>
      <w:divBdr>
        <w:top w:val="none" w:sz="0" w:space="0" w:color="auto"/>
        <w:left w:val="none" w:sz="0" w:space="0" w:color="auto"/>
        <w:bottom w:val="none" w:sz="0" w:space="0" w:color="auto"/>
        <w:right w:val="none" w:sz="0" w:space="0" w:color="auto"/>
      </w:divBdr>
    </w:div>
    <w:div w:id="1327248364">
      <w:bodyDiv w:val="1"/>
      <w:marLeft w:val="0"/>
      <w:marRight w:val="0"/>
      <w:marTop w:val="0"/>
      <w:marBottom w:val="0"/>
      <w:divBdr>
        <w:top w:val="none" w:sz="0" w:space="0" w:color="auto"/>
        <w:left w:val="none" w:sz="0" w:space="0" w:color="auto"/>
        <w:bottom w:val="none" w:sz="0" w:space="0" w:color="auto"/>
        <w:right w:val="none" w:sz="0" w:space="0" w:color="auto"/>
      </w:divBdr>
    </w:div>
    <w:div w:id="1339574937">
      <w:bodyDiv w:val="1"/>
      <w:marLeft w:val="0"/>
      <w:marRight w:val="0"/>
      <w:marTop w:val="0"/>
      <w:marBottom w:val="0"/>
      <w:divBdr>
        <w:top w:val="none" w:sz="0" w:space="0" w:color="auto"/>
        <w:left w:val="none" w:sz="0" w:space="0" w:color="auto"/>
        <w:bottom w:val="none" w:sz="0" w:space="0" w:color="auto"/>
        <w:right w:val="none" w:sz="0" w:space="0" w:color="auto"/>
      </w:divBdr>
    </w:div>
    <w:div w:id="1381051378">
      <w:bodyDiv w:val="1"/>
      <w:marLeft w:val="0"/>
      <w:marRight w:val="0"/>
      <w:marTop w:val="0"/>
      <w:marBottom w:val="0"/>
      <w:divBdr>
        <w:top w:val="none" w:sz="0" w:space="0" w:color="auto"/>
        <w:left w:val="none" w:sz="0" w:space="0" w:color="auto"/>
        <w:bottom w:val="none" w:sz="0" w:space="0" w:color="auto"/>
        <w:right w:val="none" w:sz="0" w:space="0" w:color="auto"/>
      </w:divBdr>
      <w:divsChild>
        <w:div w:id="98112365">
          <w:marLeft w:val="0"/>
          <w:marRight w:val="0"/>
          <w:marTop w:val="0"/>
          <w:marBottom w:val="0"/>
          <w:divBdr>
            <w:top w:val="none" w:sz="0" w:space="0" w:color="auto"/>
            <w:left w:val="none" w:sz="0" w:space="0" w:color="auto"/>
            <w:bottom w:val="none" w:sz="0" w:space="0" w:color="auto"/>
            <w:right w:val="none" w:sz="0" w:space="0" w:color="auto"/>
          </w:divBdr>
        </w:div>
        <w:div w:id="931084631">
          <w:marLeft w:val="0"/>
          <w:marRight w:val="0"/>
          <w:marTop w:val="0"/>
          <w:marBottom w:val="0"/>
          <w:divBdr>
            <w:top w:val="none" w:sz="0" w:space="0" w:color="auto"/>
            <w:left w:val="none" w:sz="0" w:space="0" w:color="auto"/>
            <w:bottom w:val="none" w:sz="0" w:space="0" w:color="auto"/>
            <w:right w:val="none" w:sz="0" w:space="0" w:color="auto"/>
          </w:divBdr>
        </w:div>
      </w:divsChild>
    </w:div>
    <w:div w:id="1432555790">
      <w:bodyDiv w:val="1"/>
      <w:marLeft w:val="0"/>
      <w:marRight w:val="0"/>
      <w:marTop w:val="0"/>
      <w:marBottom w:val="0"/>
      <w:divBdr>
        <w:top w:val="none" w:sz="0" w:space="0" w:color="auto"/>
        <w:left w:val="none" w:sz="0" w:space="0" w:color="auto"/>
        <w:bottom w:val="none" w:sz="0" w:space="0" w:color="auto"/>
        <w:right w:val="none" w:sz="0" w:space="0" w:color="auto"/>
      </w:divBdr>
    </w:div>
    <w:div w:id="1451241529">
      <w:bodyDiv w:val="1"/>
      <w:marLeft w:val="0"/>
      <w:marRight w:val="0"/>
      <w:marTop w:val="0"/>
      <w:marBottom w:val="0"/>
      <w:divBdr>
        <w:top w:val="none" w:sz="0" w:space="0" w:color="auto"/>
        <w:left w:val="none" w:sz="0" w:space="0" w:color="auto"/>
        <w:bottom w:val="none" w:sz="0" w:space="0" w:color="auto"/>
        <w:right w:val="none" w:sz="0" w:space="0" w:color="auto"/>
      </w:divBdr>
    </w:div>
    <w:div w:id="1477213065">
      <w:bodyDiv w:val="1"/>
      <w:marLeft w:val="0"/>
      <w:marRight w:val="0"/>
      <w:marTop w:val="0"/>
      <w:marBottom w:val="0"/>
      <w:divBdr>
        <w:top w:val="none" w:sz="0" w:space="0" w:color="auto"/>
        <w:left w:val="none" w:sz="0" w:space="0" w:color="auto"/>
        <w:bottom w:val="none" w:sz="0" w:space="0" w:color="auto"/>
        <w:right w:val="none" w:sz="0" w:space="0" w:color="auto"/>
      </w:divBdr>
    </w:div>
    <w:div w:id="1506675873">
      <w:bodyDiv w:val="1"/>
      <w:marLeft w:val="0"/>
      <w:marRight w:val="0"/>
      <w:marTop w:val="0"/>
      <w:marBottom w:val="0"/>
      <w:divBdr>
        <w:top w:val="none" w:sz="0" w:space="0" w:color="auto"/>
        <w:left w:val="none" w:sz="0" w:space="0" w:color="auto"/>
        <w:bottom w:val="none" w:sz="0" w:space="0" w:color="auto"/>
        <w:right w:val="none" w:sz="0" w:space="0" w:color="auto"/>
      </w:divBdr>
    </w:div>
    <w:div w:id="1603222541">
      <w:bodyDiv w:val="1"/>
      <w:marLeft w:val="0"/>
      <w:marRight w:val="0"/>
      <w:marTop w:val="0"/>
      <w:marBottom w:val="0"/>
      <w:divBdr>
        <w:top w:val="none" w:sz="0" w:space="0" w:color="auto"/>
        <w:left w:val="none" w:sz="0" w:space="0" w:color="auto"/>
        <w:bottom w:val="none" w:sz="0" w:space="0" w:color="auto"/>
        <w:right w:val="none" w:sz="0" w:space="0" w:color="auto"/>
      </w:divBdr>
    </w:div>
    <w:div w:id="1675842359">
      <w:bodyDiv w:val="1"/>
      <w:marLeft w:val="0"/>
      <w:marRight w:val="0"/>
      <w:marTop w:val="0"/>
      <w:marBottom w:val="0"/>
      <w:divBdr>
        <w:top w:val="none" w:sz="0" w:space="0" w:color="auto"/>
        <w:left w:val="none" w:sz="0" w:space="0" w:color="auto"/>
        <w:bottom w:val="none" w:sz="0" w:space="0" w:color="auto"/>
        <w:right w:val="none" w:sz="0" w:space="0" w:color="auto"/>
      </w:divBdr>
    </w:div>
    <w:div w:id="1862932286">
      <w:bodyDiv w:val="1"/>
      <w:marLeft w:val="0"/>
      <w:marRight w:val="0"/>
      <w:marTop w:val="0"/>
      <w:marBottom w:val="0"/>
      <w:divBdr>
        <w:top w:val="none" w:sz="0" w:space="0" w:color="auto"/>
        <w:left w:val="none" w:sz="0" w:space="0" w:color="auto"/>
        <w:bottom w:val="none" w:sz="0" w:space="0" w:color="auto"/>
        <w:right w:val="none" w:sz="0" w:space="0" w:color="auto"/>
      </w:divBdr>
    </w:div>
    <w:div w:id="1923025416">
      <w:bodyDiv w:val="1"/>
      <w:marLeft w:val="0"/>
      <w:marRight w:val="0"/>
      <w:marTop w:val="0"/>
      <w:marBottom w:val="0"/>
      <w:divBdr>
        <w:top w:val="none" w:sz="0" w:space="0" w:color="auto"/>
        <w:left w:val="none" w:sz="0" w:space="0" w:color="auto"/>
        <w:bottom w:val="none" w:sz="0" w:space="0" w:color="auto"/>
        <w:right w:val="none" w:sz="0" w:space="0" w:color="auto"/>
      </w:divBdr>
    </w:div>
    <w:div w:id="2058821618">
      <w:bodyDiv w:val="1"/>
      <w:marLeft w:val="0"/>
      <w:marRight w:val="0"/>
      <w:marTop w:val="0"/>
      <w:marBottom w:val="0"/>
      <w:divBdr>
        <w:top w:val="none" w:sz="0" w:space="0" w:color="auto"/>
        <w:left w:val="none" w:sz="0" w:space="0" w:color="auto"/>
        <w:bottom w:val="none" w:sz="0" w:space="0" w:color="auto"/>
        <w:right w:val="none" w:sz="0" w:space="0" w:color="auto"/>
      </w:divBdr>
    </w:div>
    <w:div w:id="2068409830">
      <w:bodyDiv w:val="1"/>
      <w:marLeft w:val="0"/>
      <w:marRight w:val="0"/>
      <w:marTop w:val="0"/>
      <w:marBottom w:val="0"/>
      <w:divBdr>
        <w:top w:val="none" w:sz="0" w:space="0" w:color="auto"/>
        <w:left w:val="none" w:sz="0" w:space="0" w:color="auto"/>
        <w:bottom w:val="none" w:sz="0" w:space="0" w:color="auto"/>
        <w:right w:val="none" w:sz="0" w:space="0" w:color="auto"/>
      </w:divBdr>
    </w:div>
    <w:div w:id="2088304871">
      <w:bodyDiv w:val="1"/>
      <w:marLeft w:val="0"/>
      <w:marRight w:val="0"/>
      <w:marTop w:val="0"/>
      <w:marBottom w:val="0"/>
      <w:divBdr>
        <w:top w:val="none" w:sz="0" w:space="0" w:color="auto"/>
        <w:left w:val="none" w:sz="0" w:space="0" w:color="auto"/>
        <w:bottom w:val="none" w:sz="0" w:space="0" w:color="auto"/>
        <w:right w:val="none" w:sz="0" w:space="0" w:color="auto"/>
      </w:divBdr>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5126978">
      <w:bodyDiv w:val="1"/>
      <w:marLeft w:val="0"/>
      <w:marRight w:val="0"/>
      <w:marTop w:val="0"/>
      <w:marBottom w:val="0"/>
      <w:divBdr>
        <w:top w:val="none" w:sz="0" w:space="0" w:color="auto"/>
        <w:left w:val="none" w:sz="0" w:space="0" w:color="auto"/>
        <w:bottom w:val="none" w:sz="0" w:space="0" w:color="auto"/>
        <w:right w:val="none" w:sz="0" w:space="0" w:color="auto"/>
      </w:divBdr>
    </w:div>
    <w:div w:id="2121298322">
      <w:bodyDiv w:val="1"/>
      <w:marLeft w:val="0"/>
      <w:marRight w:val="0"/>
      <w:marTop w:val="0"/>
      <w:marBottom w:val="0"/>
      <w:divBdr>
        <w:top w:val="none" w:sz="0" w:space="0" w:color="auto"/>
        <w:left w:val="none" w:sz="0" w:space="0" w:color="auto"/>
        <w:bottom w:val="none" w:sz="0" w:space="0" w:color="auto"/>
        <w:right w:val="none" w:sz="0" w:space="0" w:color="auto"/>
      </w:divBdr>
    </w:div>
    <w:div w:id="2131197289">
      <w:bodyDiv w:val="1"/>
      <w:marLeft w:val="0"/>
      <w:marRight w:val="0"/>
      <w:marTop w:val="0"/>
      <w:marBottom w:val="0"/>
      <w:divBdr>
        <w:top w:val="none" w:sz="0" w:space="0" w:color="auto"/>
        <w:left w:val="none" w:sz="0" w:space="0" w:color="auto"/>
        <w:bottom w:val="none" w:sz="0" w:space="0" w:color="auto"/>
        <w:right w:val="none" w:sz="0" w:space="0" w:color="auto"/>
      </w:divBdr>
    </w:div>
    <w:div w:id="2132280078">
      <w:bodyDiv w:val="1"/>
      <w:marLeft w:val="0"/>
      <w:marRight w:val="0"/>
      <w:marTop w:val="0"/>
      <w:marBottom w:val="0"/>
      <w:divBdr>
        <w:top w:val="none" w:sz="0" w:space="0" w:color="auto"/>
        <w:left w:val="none" w:sz="0" w:space="0" w:color="auto"/>
        <w:bottom w:val="none" w:sz="0" w:space="0" w:color="auto"/>
        <w:right w:val="none" w:sz="0" w:space="0" w:color="auto"/>
      </w:divBdr>
    </w:div>
    <w:div w:id="2142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civix/document/id/complete/statreg/96492_00" TargetMode="External"/><Relationship Id="rId13" Type="http://schemas.openxmlformats.org/officeDocument/2006/relationships/hyperlink" Target="https://www.canlii.org/en/bc/bcsc/doc/2020/2020bcsc410/2020bcsc410.pdf" TargetMode="External"/><Relationship Id="rId18" Type="http://schemas.openxmlformats.org/officeDocument/2006/relationships/hyperlink" Target="https://www.canlii.org/en/bc/bcsc/doc/2008/2008bcsc1710/2008bcsc1710.html" TargetMode="External"/><Relationship Id="rId26" Type="http://schemas.openxmlformats.org/officeDocument/2006/relationships/hyperlink" Target="https://www.cbc.ca/news/canada/british-columbia/b-c-s-attorney-general-raising-the-spectre-of-no-fault-auto-insurance-legal-opponents-say-1.5350958" TargetMode="External"/><Relationship Id="rId3" Type="http://schemas.openxmlformats.org/officeDocument/2006/relationships/settings" Target="settings.xml"/><Relationship Id="rId21" Type="http://schemas.openxmlformats.org/officeDocument/2006/relationships/hyperlink" Target="https://www.canlii.org/en/bc/bcsc/doc/2008/2008bcsc1130/2008bcsc1130.html" TargetMode="External"/><Relationship Id="rId34" Type="http://schemas.openxmlformats.org/officeDocument/2006/relationships/footer" Target="footer1.xml"/><Relationship Id="rId7" Type="http://schemas.openxmlformats.org/officeDocument/2006/relationships/hyperlink" Target="http://www.bclaws.ca/EPLibraries/bclaws_new/document/LOC/freeside/--%20I%20--/Insurance%20Vehicle%20Act%20RSBC%201996%20c.%20231/05_Regulations/10_447_83%20Insurance%20Vehicle%20Regulation/447_83_10.xml" TargetMode="External"/><Relationship Id="rId12" Type="http://schemas.openxmlformats.org/officeDocument/2006/relationships/hyperlink" Target="https://news.gov.bc.ca/releases/2018AG0003-000164" TargetMode="External"/><Relationship Id="rId17" Type="http://schemas.openxmlformats.org/officeDocument/2006/relationships/hyperlink" Target="https://www.canlii.org/en/bc/bcsc/doc/2006/2006bcsc1245/2006bcsc1245.html" TargetMode="External"/><Relationship Id="rId25" Type="http://schemas.openxmlformats.org/officeDocument/2006/relationships/hyperlink" Target="https://www.bccourts.ca/jdb-txt/sc/19/18/2019BCSC1824.htm" TargetMode="External"/><Relationship Id="rId33" Type="http://schemas.openxmlformats.org/officeDocument/2006/relationships/hyperlink" Target="mailto:support@SEOT.ubc.ca" TargetMode="External"/><Relationship Id="rId2" Type="http://schemas.openxmlformats.org/officeDocument/2006/relationships/styles" Target="styles.xml"/><Relationship Id="rId16" Type="http://schemas.openxmlformats.org/officeDocument/2006/relationships/hyperlink" Target="https://www.canlii.org/en/bc/bcca/doc/1997/1997canlii2351/1997canlii2351.html" TargetMode="External"/><Relationship Id="rId20" Type="http://schemas.openxmlformats.org/officeDocument/2006/relationships/hyperlink" Target="https://www.canlii.org/en/bc/bcsc/doc/2011/2011bcsc1299/2011bcsc1299.html" TargetMode="External"/><Relationship Id="rId29" Type="http://schemas.openxmlformats.org/officeDocument/2006/relationships/hyperlink" Target="https://coibc.ca/disclosure-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bc.com/claims/disputes-appeals/Documents/undisclosed-vs-icbc-25aug2017.pdf" TargetMode="External"/><Relationship Id="rId24" Type="http://schemas.openxmlformats.org/officeDocument/2006/relationships/hyperlink" Target="https://www.canlii.org/en/bc/bcca/doc/1996/1996canlii2127/1996canlii2127.html" TargetMode="External"/><Relationship Id="rId32" Type="http://schemas.openxmlformats.org/officeDocument/2006/relationships/hyperlink" Target="https://www.notonofault.com/" TargetMode="External"/><Relationship Id="rId5" Type="http://schemas.openxmlformats.org/officeDocument/2006/relationships/footnotes" Target="footnotes.xml"/><Relationship Id="rId15" Type="http://schemas.openxmlformats.org/officeDocument/2006/relationships/hyperlink" Target="https://www.canlii.org/en/bc/bcsc/doc/2013/2013bcsc2117/2013bcsc2117.html" TargetMode="External"/><Relationship Id="rId23" Type="http://schemas.openxmlformats.org/officeDocument/2006/relationships/hyperlink" Target="https://www.canlii.org/en/bc/bcca/doc/1990/1990canlii206/1990canlii206.html" TargetMode="External"/><Relationship Id="rId28" Type="http://schemas.openxmlformats.org/officeDocument/2006/relationships/hyperlink" Target="https://coibc.ca/resources-for-members/" TargetMode="External"/><Relationship Id="rId36" Type="http://schemas.openxmlformats.org/officeDocument/2006/relationships/theme" Target="theme/theme1.xml"/><Relationship Id="rId10" Type="http://schemas.openxmlformats.org/officeDocument/2006/relationships/hyperlink" Target="http://www.bclaws.ca/civix/document/id/complete/statreg/96492_00" TargetMode="External"/><Relationship Id="rId19" Type="http://schemas.openxmlformats.org/officeDocument/2006/relationships/hyperlink" Target="https://www.canlii.org/en/bc/bcsc/doc/2008/2008bcsc1130/2008bcsc1130.html" TargetMode="External"/><Relationship Id="rId31" Type="http://schemas.openxmlformats.org/officeDocument/2006/relationships/hyperlink" Target="https://vancouversun.com/news/politics/from-no-fault-hater-to-no-fault-lover-the-inside-story-on-david-ebys-decision-to-revamp-icbc/" TargetMode="External"/><Relationship Id="rId4" Type="http://schemas.openxmlformats.org/officeDocument/2006/relationships/webSettings" Target="webSettings.xml"/><Relationship Id="rId9" Type="http://schemas.openxmlformats.org/officeDocument/2006/relationships/hyperlink" Target="http://www.bclaws.ca/civix/document/id/complete/statreg/96492_00" TargetMode="External"/><Relationship Id="rId14" Type="http://schemas.openxmlformats.org/officeDocument/2006/relationships/hyperlink" Target="https://www.canlii.org/en/bc/bcca/doc/1997/1997canlii2351/1997canlii2351.html" TargetMode="External"/><Relationship Id="rId22" Type="http://schemas.openxmlformats.org/officeDocument/2006/relationships/hyperlink" Target="https://www.canlii.org/en/bc/bcsc/doc/1963/1963canlii497/1963canlii497.html" TargetMode="External"/><Relationship Id="rId27" Type="http://schemas.openxmlformats.org/officeDocument/2006/relationships/hyperlink" Target="https://www.cbabc.org/News-Media/Media-Releases/2020/CBABC-opposes-changes-evidence-act" TargetMode="External"/><Relationship Id="rId30" Type="http://schemas.openxmlformats.org/officeDocument/2006/relationships/hyperlink" Target="https://coibc.ca/abou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7877</Words>
  <Characters>44901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Kazimirski</dc:creator>
  <cp:lastModifiedBy>Sandy Kovacs</cp:lastModifiedBy>
  <cp:revision>2</cp:revision>
  <dcterms:created xsi:type="dcterms:W3CDTF">2020-03-29T23:42:00Z</dcterms:created>
  <dcterms:modified xsi:type="dcterms:W3CDTF">2020-03-29T23:42:00Z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\2020 Updated Materials - USE THIS FOLDER\UBC </vt:lpwstr>
  </property>
</Properties>
</file>