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3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952"/>
        <w:gridCol w:w="2952"/>
      </w:tblGrid>
      <w:tr w:rsidR="00E91655" w:rsidRPr="00E91655" w:rsidTr="00D249B7">
        <w:tc>
          <w:tcPr>
            <w:tcW w:w="3227" w:type="dxa"/>
            <w:tcBorders>
              <w:top w:val="single" w:sz="4" w:space="0" w:color="auto"/>
            </w:tcBorders>
          </w:tcPr>
          <w:p w:rsidR="00E91655" w:rsidRPr="00E91655" w:rsidRDefault="00E91655" w:rsidP="00E91655">
            <w:pPr>
              <w:tabs>
                <w:tab w:val="left" w:pos="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E91655" w:rsidRPr="00E91655" w:rsidRDefault="00E91655" w:rsidP="00E91655">
            <w:pPr>
              <w:tabs>
                <w:tab w:val="left" w:pos="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E91655" w:rsidRPr="00E91655" w:rsidRDefault="00E91655" w:rsidP="00E91655">
            <w:pPr>
              <w:tabs>
                <w:tab w:val="left" w:pos="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1655" w:rsidRPr="00E91655" w:rsidTr="00D249B7">
        <w:tc>
          <w:tcPr>
            <w:tcW w:w="3227" w:type="dxa"/>
          </w:tcPr>
          <w:p w:rsidR="00E91655" w:rsidRPr="00E91655" w:rsidRDefault="00E91655" w:rsidP="00E91655">
            <w:pPr>
              <w:tabs>
                <w:tab w:val="left" w:pos="3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91655">
              <w:rPr>
                <w:rFonts w:ascii="Arial" w:hAnsi="Arial" w:cs="Arial"/>
                <w:b/>
                <w:sz w:val="28"/>
                <w:szCs w:val="28"/>
              </w:rPr>
              <w:t>Law 435C.001</w:t>
            </w:r>
          </w:p>
        </w:tc>
        <w:tc>
          <w:tcPr>
            <w:tcW w:w="2952" w:type="dxa"/>
          </w:tcPr>
          <w:p w:rsidR="00E91655" w:rsidRPr="00E91655" w:rsidRDefault="00E91655" w:rsidP="00E91655">
            <w:pPr>
              <w:tabs>
                <w:tab w:val="left" w:pos="3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91655">
              <w:rPr>
                <w:rFonts w:ascii="Arial" w:hAnsi="Arial" w:cs="Arial"/>
                <w:b/>
                <w:sz w:val="28"/>
                <w:szCs w:val="28"/>
              </w:rPr>
              <w:t>Personal Injury Advocacy</w:t>
            </w:r>
          </w:p>
        </w:tc>
        <w:tc>
          <w:tcPr>
            <w:tcW w:w="2952" w:type="dxa"/>
          </w:tcPr>
          <w:p w:rsidR="00E91655" w:rsidRPr="00E91655" w:rsidRDefault="00E91655" w:rsidP="00E91655">
            <w:pPr>
              <w:tabs>
                <w:tab w:val="left" w:pos="3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91655">
              <w:rPr>
                <w:rFonts w:ascii="Arial" w:hAnsi="Arial" w:cs="Arial"/>
                <w:b/>
                <w:sz w:val="28"/>
                <w:szCs w:val="28"/>
              </w:rPr>
              <w:t>2021  Term 2</w:t>
            </w:r>
          </w:p>
        </w:tc>
      </w:tr>
      <w:tr w:rsidR="00E91655" w:rsidRPr="00E91655" w:rsidTr="00D249B7">
        <w:tc>
          <w:tcPr>
            <w:tcW w:w="3227" w:type="dxa"/>
          </w:tcPr>
          <w:p w:rsidR="00E91655" w:rsidRPr="00E91655" w:rsidRDefault="00E91655" w:rsidP="00E91655"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52" w:type="dxa"/>
          </w:tcPr>
          <w:p w:rsidR="00E91655" w:rsidRPr="00E91655" w:rsidRDefault="00E91655" w:rsidP="00E91655">
            <w:pPr>
              <w:tabs>
                <w:tab w:val="left" w:pos="36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52" w:type="dxa"/>
          </w:tcPr>
          <w:p w:rsidR="00E91655" w:rsidRPr="00E91655" w:rsidRDefault="00E91655" w:rsidP="00E91655"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E91655" w:rsidRPr="00E91655" w:rsidTr="00D249B7">
        <w:tc>
          <w:tcPr>
            <w:tcW w:w="3227" w:type="dxa"/>
          </w:tcPr>
          <w:p w:rsidR="00E91655" w:rsidRPr="00E91655" w:rsidRDefault="00E91655" w:rsidP="00E91655">
            <w:pPr>
              <w:tabs>
                <w:tab w:val="left" w:pos="360"/>
              </w:tabs>
              <w:rPr>
                <w:rFonts w:ascii="Arial" w:hAnsi="Arial" w:cs="Arial"/>
                <w:sz w:val="24"/>
              </w:rPr>
            </w:pPr>
            <w:r w:rsidRPr="00E91655">
              <w:rPr>
                <w:rFonts w:ascii="Arial" w:hAnsi="Arial" w:cs="Arial"/>
                <w:sz w:val="24"/>
              </w:rPr>
              <w:t>Professors:</w:t>
            </w:r>
          </w:p>
          <w:p w:rsidR="00E91655" w:rsidRPr="00E91655" w:rsidRDefault="00E91655" w:rsidP="00E91655">
            <w:pPr>
              <w:tabs>
                <w:tab w:val="left" w:pos="360"/>
              </w:tabs>
              <w:rPr>
                <w:rFonts w:ascii="Arial" w:hAnsi="Arial" w:cs="Arial"/>
                <w:sz w:val="24"/>
              </w:rPr>
            </w:pPr>
            <w:r w:rsidRPr="00E91655">
              <w:rPr>
                <w:rFonts w:ascii="Arial" w:hAnsi="Arial" w:cs="Arial"/>
                <w:sz w:val="24"/>
              </w:rPr>
              <w:t>MARC KAZIMIRSKI and SANDRA KOVACS</w:t>
            </w:r>
          </w:p>
        </w:tc>
        <w:tc>
          <w:tcPr>
            <w:tcW w:w="2952" w:type="dxa"/>
          </w:tcPr>
          <w:p w:rsidR="00E91655" w:rsidRPr="00E91655" w:rsidRDefault="00E91655" w:rsidP="00E91655">
            <w:pPr>
              <w:tabs>
                <w:tab w:val="left" w:pos="360"/>
              </w:tabs>
              <w:rPr>
                <w:rFonts w:ascii="Arial" w:hAnsi="Arial" w:cs="Arial"/>
                <w:sz w:val="24"/>
              </w:rPr>
            </w:pPr>
            <w:r w:rsidRPr="00E91655">
              <w:rPr>
                <w:rFonts w:ascii="Arial" w:hAnsi="Arial" w:cs="Arial"/>
                <w:sz w:val="24"/>
              </w:rPr>
              <w:t>Tel: (604) 681-9344</w:t>
            </w:r>
          </w:p>
          <w:p w:rsidR="00E91655" w:rsidRPr="00E91655" w:rsidRDefault="00E91655" w:rsidP="00E91655">
            <w:pPr>
              <w:tabs>
                <w:tab w:val="left" w:pos="360"/>
              </w:tabs>
              <w:rPr>
                <w:rFonts w:ascii="Arial" w:hAnsi="Arial" w:cs="Arial"/>
                <w:sz w:val="24"/>
              </w:rPr>
            </w:pPr>
            <w:r w:rsidRPr="00E91655">
              <w:rPr>
                <w:rFonts w:ascii="Arial" w:hAnsi="Arial" w:cs="Arial"/>
                <w:sz w:val="24"/>
              </w:rPr>
              <w:t xml:space="preserve">Email: mak@kazlaw.ca </w:t>
            </w:r>
          </w:p>
          <w:p w:rsidR="00E91655" w:rsidRPr="00E91655" w:rsidRDefault="00E91655" w:rsidP="00E91655">
            <w:pPr>
              <w:tabs>
                <w:tab w:val="left" w:pos="360"/>
              </w:tabs>
              <w:rPr>
                <w:rFonts w:ascii="Arial" w:hAnsi="Arial" w:cs="Arial"/>
                <w:sz w:val="24"/>
              </w:rPr>
            </w:pPr>
            <w:r w:rsidRPr="00E91655">
              <w:rPr>
                <w:rFonts w:ascii="Arial" w:hAnsi="Arial" w:cs="Arial"/>
                <w:sz w:val="24"/>
              </w:rPr>
              <w:t xml:space="preserve">Email: </w:t>
            </w:r>
            <w:hyperlink r:id="rId5" w:history="1">
              <w:r w:rsidRPr="00E91655">
                <w:rPr>
                  <w:rFonts w:ascii="Arial" w:hAnsi="Arial"/>
                  <w:color w:val="0000FF"/>
                  <w:sz w:val="24"/>
                  <w:u w:val="single"/>
                </w:rPr>
                <w:t>sk@kazlaw.ca</w:t>
              </w:r>
            </w:hyperlink>
          </w:p>
          <w:p w:rsidR="00E91655" w:rsidRPr="00E91655" w:rsidRDefault="00E91655" w:rsidP="00E91655">
            <w:pPr>
              <w:tabs>
                <w:tab w:val="left" w:pos="360"/>
              </w:tabs>
              <w:rPr>
                <w:rFonts w:ascii="Arial" w:hAnsi="Arial" w:cs="Arial"/>
                <w:sz w:val="24"/>
              </w:rPr>
            </w:pPr>
            <w:r w:rsidRPr="00E91655">
              <w:rPr>
                <w:rFonts w:ascii="Arial" w:hAnsi="Arial" w:cs="Arial"/>
                <w:sz w:val="24"/>
              </w:rPr>
              <w:t xml:space="preserve">1900-570 Granville St., Vancouver BC </w:t>
            </w:r>
          </w:p>
        </w:tc>
        <w:tc>
          <w:tcPr>
            <w:tcW w:w="2952" w:type="dxa"/>
          </w:tcPr>
          <w:p w:rsidR="00E91655" w:rsidRPr="00E91655" w:rsidRDefault="00E91655" w:rsidP="00E91655">
            <w:pPr>
              <w:tabs>
                <w:tab w:val="left" w:pos="360"/>
              </w:tabs>
              <w:rPr>
                <w:rFonts w:ascii="Arial" w:hAnsi="Arial" w:cs="Arial"/>
                <w:sz w:val="24"/>
              </w:rPr>
            </w:pPr>
            <w:r w:rsidRPr="00E91655">
              <w:rPr>
                <w:rFonts w:ascii="Arial" w:hAnsi="Arial" w:cs="Arial"/>
                <w:sz w:val="24"/>
              </w:rPr>
              <w:t>Mondays 5:00 – 8:00 pm</w:t>
            </w:r>
          </w:p>
          <w:p w:rsidR="00E91655" w:rsidRPr="00E91655" w:rsidRDefault="00E91655" w:rsidP="00E91655">
            <w:pPr>
              <w:tabs>
                <w:tab w:val="left" w:pos="360"/>
              </w:tabs>
              <w:rPr>
                <w:rFonts w:ascii="Arial" w:hAnsi="Arial" w:cs="Arial"/>
                <w:sz w:val="24"/>
              </w:rPr>
            </w:pPr>
            <w:r w:rsidRPr="00E91655">
              <w:rPr>
                <w:rFonts w:ascii="Arial" w:hAnsi="Arial" w:cs="Arial"/>
                <w:sz w:val="24"/>
              </w:rPr>
              <w:t>UBC Faculty of Law</w:t>
            </w:r>
          </w:p>
          <w:p w:rsidR="00E91655" w:rsidRPr="00E91655" w:rsidRDefault="00E91655" w:rsidP="00E91655">
            <w:pPr>
              <w:tabs>
                <w:tab w:val="left" w:pos="360"/>
              </w:tabs>
              <w:rPr>
                <w:rFonts w:ascii="Arial" w:hAnsi="Arial" w:cs="Arial"/>
                <w:sz w:val="24"/>
              </w:rPr>
            </w:pPr>
            <w:r w:rsidRPr="00E91655">
              <w:rPr>
                <w:rFonts w:ascii="Arial" w:hAnsi="Arial" w:cs="Arial"/>
                <w:sz w:val="24"/>
              </w:rPr>
              <w:t>Online via Zoom</w:t>
            </w:r>
          </w:p>
          <w:p w:rsidR="00E91655" w:rsidRPr="00E91655" w:rsidRDefault="00E91655" w:rsidP="00E91655">
            <w:pPr>
              <w:tabs>
                <w:tab w:val="left" w:pos="360"/>
              </w:tabs>
              <w:rPr>
                <w:rFonts w:ascii="Arial" w:hAnsi="Arial" w:cs="Arial"/>
                <w:sz w:val="24"/>
              </w:rPr>
            </w:pPr>
          </w:p>
        </w:tc>
      </w:tr>
      <w:tr w:rsidR="00E91655" w:rsidRPr="00E91655" w:rsidTr="00D249B7">
        <w:tc>
          <w:tcPr>
            <w:tcW w:w="3227" w:type="dxa"/>
            <w:tcBorders>
              <w:bottom w:val="single" w:sz="4" w:space="0" w:color="auto"/>
            </w:tcBorders>
          </w:tcPr>
          <w:p w:rsidR="00E91655" w:rsidRPr="00E91655" w:rsidRDefault="00E91655" w:rsidP="00E91655">
            <w:pPr>
              <w:tabs>
                <w:tab w:val="left" w:pos="36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E91655" w:rsidRPr="00E91655" w:rsidRDefault="00E91655" w:rsidP="00E91655">
            <w:pPr>
              <w:tabs>
                <w:tab w:val="left" w:pos="36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E91655" w:rsidRPr="00E91655" w:rsidRDefault="00E91655" w:rsidP="00E91655">
            <w:pPr>
              <w:tabs>
                <w:tab w:val="left" w:pos="360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E91655" w:rsidRPr="00E91655" w:rsidRDefault="00E91655" w:rsidP="00E91655">
      <w:pPr>
        <w:tabs>
          <w:tab w:val="left" w:pos="360"/>
        </w:tabs>
        <w:spacing w:after="0" w:line="240" w:lineRule="auto"/>
        <w:jc w:val="both"/>
        <w:rPr>
          <w:rFonts w:ascii="Arial" w:eastAsiaTheme="minorEastAsia" w:hAnsi="Arial" w:cs="Arial"/>
          <w:b/>
          <w:sz w:val="24"/>
        </w:rPr>
      </w:pPr>
    </w:p>
    <w:p w:rsidR="00E91655" w:rsidRPr="00E91655" w:rsidRDefault="00E91655" w:rsidP="00E91655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E91655">
        <w:rPr>
          <w:rFonts w:ascii="Arial" w:eastAsiaTheme="minorEastAsia" w:hAnsi="Arial" w:cs="Arial"/>
          <w:b/>
          <w:sz w:val="24"/>
          <w:szCs w:val="24"/>
        </w:rPr>
        <w:t>CLASS SCHEDULE</w:t>
      </w:r>
    </w:p>
    <w:p w:rsidR="00E91655" w:rsidRPr="00E91655" w:rsidRDefault="00E91655" w:rsidP="00E9165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u w:val="single"/>
          <w:lang w:val="en-CA"/>
        </w:rPr>
      </w:pPr>
    </w:p>
    <w:p w:rsidR="00E91655" w:rsidRPr="00E91655" w:rsidRDefault="00E91655" w:rsidP="00E91655">
      <w:pPr>
        <w:widowControl w:val="0"/>
        <w:autoSpaceDE w:val="0"/>
        <w:autoSpaceDN w:val="0"/>
        <w:adjustRightInd w:val="0"/>
        <w:spacing w:before="29" w:after="0" w:line="271" w:lineRule="exact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W</w:t>
      </w:r>
      <w:r w:rsidRPr="00E91655">
        <w:rPr>
          <w:rFonts w:ascii="Arial" w:eastAsiaTheme="minorEastAsia" w:hAnsi="Arial" w:cs="Arial"/>
          <w:b/>
          <w:bCs/>
          <w:spacing w:val="-1"/>
          <w:position w:val="-1"/>
          <w:sz w:val="24"/>
          <w:szCs w:val="24"/>
          <w:lang w:val="en-CA"/>
        </w:rPr>
        <w:t>EE</w:t>
      </w:r>
      <w:r w:rsidRPr="00E91655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K</w:t>
      </w:r>
      <w:r w:rsidRPr="00E91655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 xml:space="preserve"> 1: JANUARY 11, 2021</w:t>
      </w: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 - </w:t>
      </w:r>
      <w:r w:rsidRPr="00E91655">
        <w:rPr>
          <w:rFonts w:ascii="Arial" w:eastAsiaTheme="minorEastAsia" w:hAnsi="Arial" w:cs="Arial"/>
          <w:b/>
          <w:bCs/>
          <w:sz w:val="24"/>
          <w:szCs w:val="24"/>
          <w:lang w:val="en-CA"/>
        </w:rPr>
        <w:t>I</w:t>
      </w:r>
      <w:r w:rsidRPr="00E91655">
        <w:rPr>
          <w:rFonts w:ascii="Arial" w:eastAsiaTheme="minorEastAsia" w:hAnsi="Arial" w:cs="Arial"/>
          <w:b/>
          <w:bCs/>
          <w:spacing w:val="1"/>
          <w:sz w:val="24"/>
          <w:szCs w:val="24"/>
          <w:lang w:val="en-CA"/>
        </w:rPr>
        <w:t>n</w:t>
      </w:r>
      <w:r w:rsidRPr="00E91655">
        <w:rPr>
          <w:rFonts w:ascii="Arial" w:eastAsiaTheme="minorEastAsia" w:hAnsi="Arial" w:cs="Arial"/>
          <w:b/>
          <w:bCs/>
          <w:sz w:val="24"/>
          <w:szCs w:val="24"/>
          <w:lang w:val="en-CA"/>
        </w:rPr>
        <w:t>t</w:t>
      </w:r>
      <w:r w:rsidRPr="00E91655">
        <w:rPr>
          <w:rFonts w:ascii="Arial" w:eastAsiaTheme="minorEastAsia" w:hAnsi="Arial" w:cs="Arial"/>
          <w:b/>
          <w:bCs/>
          <w:spacing w:val="-2"/>
          <w:sz w:val="24"/>
          <w:szCs w:val="24"/>
          <w:lang w:val="en-CA"/>
        </w:rPr>
        <w:t>r</w:t>
      </w:r>
      <w:r w:rsidRPr="00E91655">
        <w:rPr>
          <w:rFonts w:ascii="Arial" w:eastAsiaTheme="minorEastAsia" w:hAnsi="Arial" w:cs="Arial"/>
          <w:b/>
          <w:bCs/>
          <w:sz w:val="24"/>
          <w:szCs w:val="24"/>
          <w:lang w:val="en-CA"/>
        </w:rPr>
        <w:t>o</w:t>
      </w:r>
      <w:r w:rsidRPr="00E91655">
        <w:rPr>
          <w:rFonts w:ascii="Arial" w:eastAsiaTheme="minorEastAsia" w:hAnsi="Arial" w:cs="Arial"/>
          <w:b/>
          <w:bCs/>
          <w:spacing w:val="1"/>
          <w:sz w:val="24"/>
          <w:szCs w:val="24"/>
          <w:lang w:val="en-CA"/>
        </w:rPr>
        <w:t>du</w:t>
      </w:r>
      <w:r w:rsidRPr="00E91655">
        <w:rPr>
          <w:rFonts w:ascii="Arial" w:eastAsiaTheme="minorEastAsia" w:hAnsi="Arial" w:cs="Arial"/>
          <w:b/>
          <w:bCs/>
          <w:spacing w:val="-1"/>
          <w:sz w:val="24"/>
          <w:szCs w:val="24"/>
          <w:lang w:val="en-CA"/>
        </w:rPr>
        <w:t>c</w:t>
      </w:r>
      <w:r w:rsidRPr="00E91655">
        <w:rPr>
          <w:rFonts w:ascii="Arial" w:eastAsiaTheme="minorEastAsia" w:hAnsi="Arial" w:cs="Arial"/>
          <w:b/>
          <w:bCs/>
          <w:sz w:val="24"/>
          <w:szCs w:val="24"/>
          <w:lang w:val="en-CA"/>
        </w:rPr>
        <w:t>tion</w:t>
      </w:r>
      <w:r w:rsidRPr="00E91655">
        <w:rPr>
          <w:rFonts w:ascii="Arial" w:eastAsiaTheme="minorEastAsia" w:hAnsi="Arial" w:cs="Arial"/>
          <w:b/>
          <w:bCs/>
          <w:spacing w:val="1"/>
          <w:sz w:val="24"/>
          <w:szCs w:val="24"/>
          <w:lang w:val="en-CA"/>
        </w:rPr>
        <w:t xml:space="preserve"> </w:t>
      </w:r>
      <w:r w:rsidRPr="00E91655">
        <w:rPr>
          <w:rFonts w:ascii="Arial" w:eastAsiaTheme="minorEastAsia" w:hAnsi="Arial" w:cs="Arial"/>
          <w:b/>
          <w:bCs/>
          <w:sz w:val="24"/>
          <w:szCs w:val="24"/>
          <w:lang w:val="en-CA"/>
        </w:rPr>
        <w:t>to pe</w:t>
      </w:r>
      <w:r w:rsidRPr="00E91655">
        <w:rPr>
          <w:rFonts w:ascii="Arial" w:eastAsiaTheme="minorEastAsia" w:hAnsi="Arial" w:cs="Arial"/>
          <w:b/>
          <w:bCs/>
          <w:spacing w:val="-2"/>
          <w:sz w:val="24"/>
          <w:szCs w:val="24"/>
          <w:lang w:val="en-CA"/>
        </w:rPr>
        <w:t>r</w:t>
      </w:r>
      <w:r w:rsidRPr="00E91655">
        <w:rPr>
          <w:rFonts w:ascii="Arial" w:eastAsiaTheme="minorEastAsia" w:hAnsi="Arial" w:cs="Arial"/>
          <w:b/>
          <w:bCs/>
          <w:sz w:val="24"/>
          <w:szCs w:val="24"/>
          <w:lang w:val="en-CA"/>
        </w:rPr>
        <w:t>so</w:t>
      </w:r>
      <w:r w:rsidRPr="00E91655">
        <w:rPr>
          <w:rFonts w:ascii="Arial" w:eastAsiaTheme="minorEastAsia" w:hAnsi="Arial" w:cs="Arial"/>
          <w:b/>
          <w:bCs/>
          <w:spacing w:val="1"/>
          <w:sz w:val="24"/>
          <w:szCs w:val="24"/>
          <w:lang w:val="en-CA"/>
        </w:rPr>
        <w:t>n</w:t>
      </w:r>
      <w:r w:rsidRPr="00E91655">
        <w:rPr>
          <w:rFonts w:ascii="Arial" w:eastAsiaTheme="minorEastAsia" w:hAnsi="Arial" w:cs="Arial"/>
          <w:b/>
          <w:bCs/>
          <w:sz w:val="24"/>
          <w:szCs w:val="24"/>
          <w:lang w:val="en-CA"/>
        </w:rPr>
        <w:t xml:space="preserve">al </w:t>
      </w:r>
      <w:r w:rsidRPr="00E91655">
        <w:rPr>
          <w:rFonts w:ascii="Arial" w:eastAsiaTheme="minorEastAsia" w:hAnsi="Arial" w:cs="Arial"/>
          <w:b/>
          <w:bCs/>
          <w:spacing w:val="1"/>
          <w:sz w:val="24"/>
          <w:szCs w:val="24"/>
          <w:lang w:val="en-CA"/>
        </w:rPr>
        <w:t>in</w:t>
      </w:r>
      <w:r w:rsidRPr="00E91655">
        <w:rPr>
          <w:rFonts w:ascii="Arial" w:eastAsiaTheme="minorEastAsia" w:hAnsi="Arial" w:cs="Arial"/>
          <w:b/>
          <w:bCs/>
          <w:sz w:val="24"/>
          <w:szCs w:val="24"/>
          <w:lang w:val="en-CA"/>
        </w:rPr>
        <w:t>ju</w:t>
      </w:r>
      <w:r w:rsidRPr="00E91655">
        <w:rPr>
          <w:rFonts w:ascii="Arial" w:eastAsiaTheme="minorEastAsia" w:hAnsi="Arial" w:cs="Arial"/>
          <w:b/>
          <w:bCs/>
          <w:spacing w:val="-1"/>
          <w:sz w:val="24"/>
          <w:szCs w:val="24"/>
          <w:lang w:val="en-CA"/>
        </w:rPr>
        <w:t>r</w:t>
      </w:r>
      <w:r w:rsidRPr="00E91655">
        <w:rPr>
          <w:rFonts w:ascii="Arial" w:eastAsiaTheme="minorEastAsia" w:hAnsi="Arial" w:cs="Arial"/>
          <w:b/>
          <w:bCs/>
          <w:sz w:val="24"/>
          <w:szCs w:val="24"/>
          <w:lang w:val="en-CA"/>
        </w:rPr>
        <w:t xml:space="preserve">y </w:t>
      </w:r>
      <w:r w:rsidRPr="00E91655">
        <w:rPr>
          <w:rFonts w:ascii="Arial" w:eastAsiaTheme="minorEastAsia" w:hAnsi="Arial" w:cs="Arial"/>
          <w:b/>
          <w:bCs/>
          <w:spacing w:val="-1"/>
          <w:sz w:val="24"/>
          <w:szCs w:val="24"/>
          <w:lang w:val="en-CA"/>
        </w:rPr>
        <w:t>c</w:t>
      </w:r>
      <w:r w:rsidRPr="00E91655">
        <w:rPr>
          <w:rFonts w:ascii="Arial" w:eastAsiaTheme="minorEastAsia" w:hAnsi="Arial" w:cs="Arial"/>
          <w:b/>
          <w:bCs/>
          <w:sz w:val="24"/>
          <w:szCs w:val="24"/>
          <w:lang w:val="en-CA"/>
        </w:rPr>
        <w:t>la</w:t>
      </w:r>
      <w:r w:rsidRPr="00E91655">
        <w:rPr>
          <w:rFonts w:ascii="Arial" w:eastAsiaTheme="minorEastAsia" w:hAnsi="Arial" w:cs="Arial"/>
          <w:b/>
          <w:bCs/>
          <w:spacing w:val="1"/>
          <w:sz w:val="24"/>
          <w:szCs w:val="24"/>
          <w:lang w:val="en-CA"/>
        </w:rPr>
        <w:t>i</w:t>
      </w:r>
      <w:r w:rsidRPr="00E91655">
        <w:rPr>
          <w:rFonts w:ascii="Arial" w:eastAsiaTheme="minorEastAsia" w:hAnsi="Arial" w:cs="Arial"/>
          <w:b/>
          <w:bCs/>
          <w:spacing w:val="-3"/>
          <w:sz w:val="24"/>
          <w:szCs w:val="24"/>
          <w:lang w:val="en-CA"/>
        </w:rPr>
        <w:t>m</w:t>
      </w:r>
      <w:r w:rsidRPr="00E91655">
        <w:rPr>
          <w:rFonts w:ascii="Arial" w:eastAsiaTheme="minorEastAsia" w:hAnsi="Arial" w:cs="Arial"/>
          <w:b/>
          <w:bCs/>
          <w:sz w:val="24"/>
          <w:szCs w:val="24"/>
          <w:lang w:val="en-CA"/>
        </w:rPr>
        <w:t>s in</w:t>
      </w:r>
      <w:r w:rsidRPr="00E91655">
        <w:rPr>
          <w:rFonts w:ascii="Arial" w:eastAsiaTheme="minorEastAsia" w:hAnsi="Arial" w:cs="Arial"/>
          <w:b/>
          <w:bCs/>
          <w:spacing w:val="1"/>
          <w:sz w:val="24"/>
          <w:szCs w:val="24"/>
          <w:lang w:val="en-CA"/>
        </w:rPr>
        <w:t xml:space="preserve"> </w:t>
      </w:r>
      <w:r w:rsidRPr="00E91655">
        <w:rPr>
          <w:rFonts w:ascii="Arial" w:eastAsiaTheme="minorEastAsia" w:hAnsi="Arial" w:cs="Arial"/>
          <w:b/>
          <w:bCs/>
          <w:sz w:val="24"/>
          <w:szCs w:val="24"/>
          <w:lang w:val="en-CA"/>
        </w:rPr>
        <w:t>Cana</w:t>
      </w:r>
      <w:r w:rsidRPr="00E91655">
        <w:rPr>
          <w:rFonts w:ascii="Arial" w:eastAsiaTheme="minorEastAsia" w:hAnsi="Arial" w:cs="Arial"/>
          <w:b/>
          <w:bCs/>
          <w:spacing w:val="1"/>
          <w:sz w:val="24"/>
          <w:szCs w:val="24"/>
          <w:lang w:val="en-CA"/>
        </w:rPr>
        <w:t>d</w:t>
      </w:r>
      <w:r w:rsidRPr="00E91655">
        <w:rPr>
          <w:rFonts w:ascii="Arial" w:eastAsiaTheme="minorEastAsia" w:hAnsi="Arial" w:cs="Arial"/>
          <w:b/>
          <w:bCs/>
          <w:sz w:val="24"/>
          <w:szCs w:val="24"/>
          <w:lang w:val="en-CA"/>
        </w:rPr>
        <w:t>a</w:t>
      </w:r>
    </w:p>
    <w:p w:rsidR="00E91655" w:rsidRPr="00E91655" w:rsidRDefault="00E91655" w:rsidP="00E91655">
      <w:pPr>
        <w:tabs>
          <w:tab w:val="left" w:pos="342"/>
        </w:tabs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0"/>
          <w:numId w:val="3"/>
        </w:numPr>
        <w:tabs>
          <w:tab w:val="left" w:pos="342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>Introduction to course topics - review grading, assignments and objectives.</w:t>
      </w:r>
    </w:p>
    <w:p w:rsidR="00E91655" w:rsidRPr="00E91655" w:rsidRDefault="00E91655" w:rsidP="00E91655">
      <w:pPr>
        <w:tabs>
          <w:tab w:val="left" w:pos="342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0"/>
          <w:numId w:val="3"/>
        </w:numPr>
        <w:tabs>
          <w:tab w:val="left" w:pos="342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>Personal injury as a specialized subsection of Tort Law requiring proof of negligence/liability, causation, and damages.</w:t>
      </w:r>
    </w:p>
    <w:p w:rsidR="00E91655" w:rsidRPr="00E91655" w:rsidRDefault="00E91655" w:rsidP="00E91655">
      <w:p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0"/>
          <w:numId w:val="3"/>
        </w:numPr>
        <w:tabs>
          <w:tab w:val="left" w:pos="342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>The types of personal injury claims: motor vehicle accidents, occupier’s liability, product liability, municipal liability, slip and fall, assault, professional negligence/malpractice, sports injuries, and wrongful death claims.</w:t>
      </w:r>
    </w:p>
    <w:p w:rsidR="00E91655" w:rsidRPr="00E91655" w:rsidRDefault="00E91655" w:rsidP="00E91655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0"/>
          <w:numId w:val="3"/>
        </w:numPr>
        <w:tabs>
          <w:tab w:val="left" w:pos="342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>Motor vehicle claims in British Columbia – Tort and Part 7 (Rehabilitation) claims.</w:t>
      </w:r>
    </w:p>
    <w:p w:rsidR="00E91655" w:rsidRPr="00E91655" w:rsidRDefault="00E91655" w:rsidP="00E91655">
      <w:p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0"/>
          <w:numId w:val="3"/>
        </w:numPr>
        <w:tabs>
          <w:tab w:val="left" w:pos="342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>The various tort regimes applicable to motor vehicle claims: no-fault insurance (Quebec), optional no-fault (Saskatchewan and Manitoba), thresholds, deductibles and caps applied to tort claims (Ontario, Alberta, and Maritimes), full tort rights for now (British Columbia) and rehabilitation benefits (all provinces).</w:t>
      </w:r>
    </w:p>
    <w:p w:rsidR="00E91655" w:rsidRPr="00E91655" w:rsidRDefault="00E91655" w:rsidP="00E91655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0"/>
          <w:numId w:val="3"/>
        </w:numPr>
        <w:tabs>
          <w:tab w:val="left" w:pos="342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>ICBC’s new “no fault” regime.</w:t>
      </w:r>
    </w:p>
    <w:p w:rsidR="00E91655" w:rsidRPr="00E91655" w:rsidRDefault="00E91655" w:rsidP="00E91655">
      <w:pPr>
        <w:tabs>
          <w:tab w:val="left" w:pos="342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0"/>
          <w:numId w:val="3"/>
        </w:numPr>
        <w:tabs>
          <w:tab w:val="left" w:pos="342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>Tort Reform in Canada and Hot Coffee discussion.</w:t>
      </w:r>
    </w:p>
    <w:p w:rsidR="00E91655" w:rsidRPr="00E91655" w:rsidRDefault="00E91655" w:rsidP="00E91655">
      <w:pPr>
        <w:tabs>
          <w:tab w:val="left" w:pos="342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0"/>
          <w:numId w:val="3"/>
        </w:numPr>
        <w:tabs>
          <w:tab w:val="left" w:pos="342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>Effective advocacy and bias in a personal injury claim – knowing the facts, the law, and the psychology of persuasion.</w:t>
      </w:r>
    </w:p>
    <w:p w:rsidR="00E91655" w:rsidRPr="00E91655" w:rsidRDefault="00E91655" w:rsidP="00E91655">
      <w:pPr>
        <w:tabs>
          <w:tab w:val="left" w:pos="342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tabs>
          <w:tab w:val="left" w:pos="342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keepNext/>
        <w:keepLines/>
        <w:widowControl w:val="0"/>
        <w:autoSpaceDE w:val="0"/>
        <w:autoSpaceDN w:val="0"/>
        <w:adjustRightInd w:val="0"/>
        <w:spacing w:after="240" w:line="271" w:lineRule="exact"/>
        <w:jc w:val="both"/>
        <w:rPr>
          <w:rFonts w:ascii="Arial" w:eastAsiaTheme="minorEastAsia" w:hAnsi="Arial" w:cs="Arial"/>
          <w:b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W</w:t>
      </w:r>
      <w:r w:rsidRPr="00E91655">
        <w:rPr>
          <w:rFonts w:ascii="Arial" w:eastAsiaTheme="minorEastAsia" w:hAnsi="Arial" w:cs="Arial"/>
          <w:b/>
          <w:bCs/>
          <w:spacing w:val="-1"/>
          <w:position w:val="-1"/>
          <w:sz w:val="24"/>
          <w:szCs w:val="24"/>
          <w:lang w:val="en-CA"/>
        </w:rPr>
        <w:t>EE</w:t>
      </w:r>
      <w:r w:rsidRPr="00E91655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K</w:t>
      </w:r>
      <w:r w:rsidRPr="00E91655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 xml:space="preserve"> </w:t>
      </w:r>
      <w:r w:rsidRPr="00E91655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2:</w:t>
      </w:r>
      <w:r w:rsidRPr="00E91655">
        <w:rPr>
          <w:rFonts w:ascii="Arial" w:eastAsiaTheme="minorEastAsia" w:hAnsi="Arial" w:cs="Arial"/>
          <w:bCs/>
          <w:position w:val="-1"/>
          <w:sz w:val="24"/>
          <w:szCs w:val="24"/>
          <w:lang w:val="en-CA"/>
        </w:rPr>
        <w:t xml:space="preserve"> </w:t>
      </w:r>
      <w:r w:rsidRPr="00E91655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 xml:space="preserve">JANUARY 18, 2021 </w:t>
      </w:r>
      <w:r w:rsidRPr="00E91655">
        <w:rPr>
          <w:rFonts w:ascii="Arial" w:eastAsiaTheme="minorEastAsia" w:hAnsi="Arial" w:cs="Arial"/>
          <w:b/>
          <w:sz w:val="24"/>
          <w:szCs w:val="24"/>
          <w:lang w:val="en-CA"/>
        </w:rPr>
        <w:t xml:space="preserve">- </w:t>
      </w:r>
      <w:r w:rsidRPr="00E91655">
        <w:rPr>
          <w:rFonts w:ascii="Arial" w:eastAsiaTheme="minorEastAsia" w:hAnsi="Arial" w:cs="Arial"/>
          <w:b/>
          <w:bCs/>
          <w:sz w:val="24"/>
          <w:szCs w:val="24"/>
          <w:lang w:val="en-CA"/>
        </w:rPr>
        <w:t>N</w:t>
      </w:r>
      <w:r w:rsidRPr="00E91655">
        <w:rPr>
          <w:rFonts w:ascii="Arial" w:eastAsiaTheme="minorEastAsia" w:hAnsi="Arial" w:cs="Arial"/>
          <w:b/>
          <w:bCs/>
          <w:spacing w:val="-1"/>
          <w:sz w:val="24"/>
          <w:szCs w:val="24"/>
          <w:lang w:val="en-CA"/>
        </w:rPr>
        <w:t>e</w:t>
      </w:r>
      <w:r w:rsidRPr="00E91655">
        <w:rPr>
          <w:rFonts w:ascii="Arial" w:eastAsiaTheme="minorEastAsia" w:hAnsi="Arial" w:cs="Arial"/>
          <w:b/>
          <w:bCs/>
          <w:sz w:val="24"/>
          <w:szCs w:val="24"/>
          <w:lang w:val="en-CA"/>
        </w:rPr>
        <w:t>gl</w:t>
      </w:r>
      <w:r w:rsidRPr="00E91655">
        <w:rPr>
          <w:rFonts w:ascii="Arial" w:eastAsiaTheme="minorEastAsia" w:hAnsi="Arial" w:cs="Arial"/>
          <w:b/>
          <w:bCs/>
          <w:spacing w:val="1"/>
          <w:sz w:val="24"/>
          <w:szCs w:val="24"/>
          <w:lang w:val="en-CA"/>
        </w:rPr>
        <w:t>i</w:t>
      </w:r>
      <w:r w:rsidRPr="00E91655">
        <w:rPr>
          <w:rFonts w:ascii="Arial" w:eastAsiaTheme="minorEastAsia" w:hAnsi="Arial" w:cs="Arial"/>
          <w:b/>
          <w:bCs/>
          <w:sz w:val="24"/>
          <w:szCs w:val="24"/>
          <w:lang w:val="en-CA"/>
        </w:rPr>
        <w:t>g</w:t>
      </w:r>
      <w:r w:rsidRPr="00E91655">
        <w:rPr>
          <w:rFonts w:ascii="Arial" w:eastAsiaTheme="minorEastAsia" w:hAnsi="Arial" w:cs="Arial"/>
          <w:b/>
          <w:bCs/>
          <w:spacing w:val="-1"/>
          <w:sz w:val="24"/>
          <w:szCs w:val="24"/>
          <w:lang w:val="en-CA"/>
        </w:rPr>
        <w:t>e</w:t>
      </w:r>
      <w:r w:rsidRPr="00E91655">
        <w:rPr>
          <w:rFonts w:ascii="Arial" w:eastAsiaTheme="minorEastAsia" w:hAnsi="Arial" w:cs="Arial"/>
          <w:b/>
          <w:bCs/>
          <w:spacing w:val="1"/>
          <w:sz w:val="24"/>
          <w:szCs w:val="24"/>
          <w:lang w:val="en-CA"/>
        </w:rPr>
        <w:t>n</w:t>
      </w:r>
      <w:r w:rsidRPr="00E91655">
        <w:rPr>
          <w:rFonts w:ascii="Arial" w:eastAsiaTheme="minorEastAsia" w:hAnsi="Arial" w:cs="Arial"/>
          <w:b/>
          <w:bCs/>
          <w:spacing w:val="-1"/>
          <w:sz w:val="24"/>
          <w:szCs w:val="24"/>
          <w:lang w:val="en-CA"/>
        </w:rPr>
        <w:t>c</w:t>
      </w:r>
      <w:r w:rsidRPr="00E91655">
        <w:rPr>
          <w:rFonts w:ascii="Arial" w:eastAsiaTheme="minorEastAsia" w:hAnsi="Arial" w:cs="Arial"/>
          <w:b/>
          <w:bCs/>
          <w:sz w:val="24"/>
          <w:szCs w:val="24"/>
          <w:lang w:val="en-CA"/>
        </w:rPr>
        <w:t>e</w:t>
      </w:r>
      <w:r w:rsidRPr="00E91655">
        <w:rPr>
          <w:rFonts w:ascii="Arial" w:eastAsiaTheme="minorEastAsia" w:hAnsi="Arial" w:cs="Arial"/>
          <w:b/>
          <w:bCs/>
          <w:spacing w:val="-1"/>
          <w:sz w:val="24"/>
          <w:szCs w:val="24"/>
          <w:lang w:val="en-CA"/>
        </w:rPr>
        <w:t xml:space="preserve"> </w:t>
      </w:r>
      <w:r w:rsidRPr="00E91655">
        <w:rPr>
          <w:rFonts w:ascii="Arial" w:eastAsiaTheme="minorEastAsia" w:hAnsi="Arial" w:cs="Arial"/>
          <w:b/>
          <w:bCs/>
          <w:sz w:val="24"/>
          <w:szCs w:val="24"/>
          <w:lang w:val="en-CA"/>
        </w:rPr>
        <w:t>a</w:t>
      </w:r>
      <w:r w:rsidRPr="00E91655">
        <w:rPr>
          <w:rFonts w:ascii="Arial" w:eastAsiaTheme="minorEastAsia" w:hAnsi="Arial" w:cs="Arial"/>
          <w:b/>
          <w:bCs/>
          <w:spacing w:val="1"/>
          <w:sz w:val="24"/>
          <w:szCs w:val="24"/>
          <w:lang w:val="en-CA"/>
        </w:rPr>
        <w:t>n</w:t>
      </w:r>
      <w:r w:rsidRPr="00E91655">
        <w:rPr>
          <w:rFonts w:ascii="Arial" w:eastAsiaTheme="minorEastAsia" w:hAnsi="Arial" w:cs="Arial"/>
          <w:b/>
          <w:bCs/>
          <w:sz w:val="24"/>
          <w:szCs w:val="24"/>
          <w:lang w:val="en-CA"/>
        </w:rPr>
        <w:t>d</w:t>
      </w:r>
      <w:r w:rsidRPr="00E91655">
        <w:rPr>
          <w:rFonts w:ascii="Arial" w:eastAsiaTheme="minorEastAsia" w:hAnsi="Arial" w:cs="Arial"/>
          <w:b/>
          <w:bCs/>
          <w:spacing w:val="1"/>
          <w:sz w:val="24"/>
          <w:szCs w:val="24"/>
          <w:lang w:val="en-CA"/>
        </w:rPr>
        <w:t xml:space="preserve"> </w:t>
      </w:r>
      <w:r w:rsidRPr="00E91655">
        <w:rPr>
          <w:rFonts w:ascii="Arial" w:eastAsiaTheme="minorEastAsia" w:hAnsi="Arial" w:cs="Arial"/>
          <w:b/>
          <w:bCs/>
          <w:sz w:val="24"/>
          <w:szCs w:val="24"/>
          <w:lang w:val="en-CA"/>
        </w:rPr>
        <w:t>l</w:t>
      </w:r>
      <w:r w:rsidRPr="00E91655">
        <w:rPr>
          <w:rFonts w:ascii="Arial" w:eastAsiaTheme="minorEastAsia" w:hAnsi="Arial" w:cs="Arial"/>
          <w:b/>
          <w:bCs/>
          <w:spacing w:val="1"/>
          <w:sz w:val="24"/>
          <w:szCs w:val="24"/>
          <w:lang w:val="en-CA"/>
        </w:rPr>
        <w:t>i</w:t>
      </w:r>
      <w:r w:rsidRPr="00E91655">
        <w:rPr>
          <w:rFonts w:ascii="Arial" w:eastAsiaTheme="minorEastAsia" w:hAnsi="Arial" w:cs="Arial"/>
          <w:b/>
          <w:bCs/>
          <w:sz w:val="24"/>
          <w:szCs w:val="24"/>
          <w:lang w:val="en-CA"/>
        </w:rPr>
        <w:t>a</w:t>
      </w:r>
      <w:r w:rsidRPr="00E91655">
        <w:rPr>
          <w:rFonts w:ascii="Arial" w:eastAsiaTheme="minorEastAsia" w:hAnsi="Arial" w:cs="Arial"/>
          <w:b/>
          <w:bCs/>
          <w:spacing w:val="1"/>
          <w:sz w:val="24"/>
          <w:szCs w:val="24"/>
          <w:lang w:val="en-CA"/>
        </w:rPr>
        <w:t>b</w:t>
      </w:r>
      <w:r w:rsidRPr="00E91655">
        <w:rPr>
          <w:rFonts w:ascii="Arial" w:eastAsiaTheme="minorEastAsia" w:hAnsi="Arial" w:cs="Arial"/>
          <w:b/>
          <w:bCs/>
          <w:sz w:val="24"/>
          <w:szCs w:val="24"/>
          <w:lang w:val="en-CA"/>
        </w:rPr>
        <w:t>i</w:t>
      </w:r>
      <w:r w:rsidRPr="00E91655">
        <w:rPr>
          <w:rFonts w:ascii="Arial" w:eastAsiaTheme="minorEastAsia" w:hAnsi="Arial" w:cs="Arial"/>
          <w:b/>
          <w:bCs/>
          <w:spacing w:val="1"/>
          <w:sz w:val="24"/>
          <w:szCs w:val="24"/>
          <w:lang w:val="en-CA"/>
        </w:rPr>
        <w:t>l</w:t>
      </w:r>
      <w:r w:rsidRPr="00E91655">
        <w:rPr>
          <w:rFonts w:ascii="Arial" w:eastAsiaTheme="minorEastAsia" w:hAnsi="Arial" w:cs="Arial"/>
          <w:b/>
          <w:bCs/>
          <w:sz w:val="24"/>
          <w:szCs w:val="24"/>
          <w:lang w:val="en-CA"/>
        </w:rPr>
        <w:t>ity</w:t>
      </w:r>
    </w:p>
    <w:p w:rsidR="00E91655" w:rsidRPr="00E91655" w:rsidRDefault="00E91655" w:rsidP="00E91655">
      <w:pPr>
        <w:numPr>
          <w:ilvl w:val="0"/>
          <w:numId w:val="1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91655">
        <w:rPr>
          <w:rFonts w:ascii="Arial" w:eastAsiaTheme="minorEastAsia" w:hAnsi="Arial" w:cs="Arial"/>
          <w:sz w:val="24"/>
          <w:szCs w:val="24"/>
        </w:rPr>
        <w:t>The elements of proving liability in negligence:</w:t>
      </w:r>
    </w:p>
    <w:p w:rsidR="00E91655" w:rsidRPr="00E91655" w:rsidRDefault="00E91655" w:rsidP="00E91655">
      <w:pPr>
        <w:numPr>
          <w:ilvl w:val="1"/>
          <w:numId w:val="1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91655">
        <w:rPr>
          <w:rFonts w:ascii="Arial" w:eastAsiaTheme="minorEastAsia" w:hAnsi="Arial" w:cs="Arial"/>
          <w:sz w:val="24"/>
          <w:szCs w:val="24"/>
        </w:rPr>
        <w:t>Duty of care (</w:t>
      </w:r>
      <w:r w:rsidRPr="00E91655">
        <w:rPr>
          <w:rFonts w:ascii="Arial" w:eastAsiaTheme="minorEastAsia" w:hAnsi="Arial" w:cs="Arial"/>
          <w:b/>
          <w:i/>
          <w:sz w:val="24"/>
          <w:szCs w:val="24"/>
        </w:rPr>
        <w:t xml:space="preserve">Rankin  (Rankin’s Garage) v. J.J., </w:t>
      </w:r>
      <w:hyperlink r:id="rId6" w:history="1">
        <w:r w:rsidRPr="00E91655">
          <w:rPr>
            <w:rFonts w:ascii="Arial" w:eastAsiaTheme="minorEastAsia" w:hAnsi="Arial" w:cs="Arial"/>
            <w:b/>
            <w:color w:val="0000FF"/>
            <w:sz w:val="24"/>
            <w:szCs w:val="24"/>
            <w:u w:val="single"/>
          </w:rPr>
          <w:t>2018 SCC 19</w:t>
        </w:r>
      </w:hyperlink>
      <w:r w:rsidRPr="00E91655">
        <w:rPr>
          <w:rFonts w:ascii="Arial" w:eastAsiaTheme="minorEastAsia" w:hAnsi="Arial" w:cs="Arial"/>
          <w:b/>
          <w:color w:val="0000FF"/>
          <w:sz w:val="24"/>
          <w:szCs w:val="24"/>
          <w:u w:val="single"/>
        </w:rPr>
        <w:t>)</w:t>
      </w:r>
      <w:r w:rsidRPr="00E91655">
        <w:rPr>
          <w:rFonts w:ascii="Arial" w:eastAsiaTheme="minorEastAsia" w:hAnsi="Arial" w:cs="Arial"/>
          <w:sz w:val="24"/>
          <w:szCs w:val="24"/>
        </w:rPr>
        <w:t>;</w:t>
      </w:r>
    </w:p>
    <w:p w:rsidR="00E91655" w:rsidRPr="00E91655" w:rsidRDefault="00E91655" w:rsidP="00E91655">
      <w:pPr>
        <w:numPr>
          <w:ilvl w:val="1"/>
          <w:numId w:val="1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91655">
        <w:rPr>
          <w:rFonts w:ascii="Arial" w:eastAsiaTheme="minorEastAsia" w:hAnsi="Arial" w:cs="Arial"/>
          <w:sz w:val="24"/>
          <w:szCs w:val="24"/>
        </w:rPr>
        <w:t>Breach of that duty;</w:t>
      </w:r>
    </w:p>
    <w:p w:rsidR="00E91655" w:rsidRPr="00E91655" w:rsidRDefault="00E91655" w:rsidP="00E91655">
      <w:pPr>
        <w:numPr>
          <w:ilvl w:val="1"/>
          <w:numId w:val="1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91655">
        <w:rPr>
          <w:rFonts w:ascii="Arial" w:eastAsiaTheme="minorEastAsia" w:hAnsi="Arial" w:cs="Arial"/>
          <w:sz w:val="24"/>
          <w:szCs w:val="24"/>
        </w:rPr>
        <w:t>Causation; and</w:t>
      </w:r>
    </w:p>
    <w:p w:rsidR="00E91655" w:rsidRPr="00E91655" w:rsidRDefault="00E91655" w:rsidP="00E91655">
      <w:pPr>
        <w:numPr>
          <w:ilvl w:val="1"/>
          <w:numId w:val="1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91655">
        <w:rPr>
          <w:rFonts w:ascii="Arial" w:eastAsiaTheme="minorEastAsia" w:hAnsi="Arial" w:cs="Arial"/>
          <w:sz w:val="24"/>
          <w:szCs w:val="24"/>
        </w:rPr>
        <w:t>Damages.</w:t>
      </w:r>
    </w:p>
    <w:p w:rsidR="00E91655" w:rsidRPr="00E91655" w:rsidRDefault="00E91655" w:rsidP="00E91655">
      <w:pPr>
        <w:numPr>
          <w:ilvl w:val="0"/>
          <w:numId w:val="1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91655">
        <w:rPr>
          <w:rFonts w:ascii="Arial" w:eastAsiaTheme="minorEastAsia" w:hAnsi="Arial" w:cs="Arial"/>
          <w:sz w:val="24"/>
          <w:szCs w:val="24"/>
        </w:rPr>
        <w:t>Burden of proof</w:t>
      </w:r>
    </w:p>
    <w:p w:rsidR="00E91655" w:rsidRPr="00E91655" w:rsidRDefault="00E91655" w:rsidP="00E91655">
      <w:pPr>
        <w:numPr>
          <w:ilvl w:val="0"/>
          <w:numId w:val="1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91655">
        <w:rPr>
          <w:rFonts w:ascii="Arial" w:eastAsiaTheme="minorEastAsia" w:hAnsi="Arial" w:cs="Arial"/>
          <w:sz w:val="24"/>
          <w:szCs w:val="24"/>
        </w:rPr>
        <w:t>Standard of proof</w:t>
      </w:r>
    </w:p>
    <w:p w:rsidR="00E91655" w:rsidRPr="00E91655" w:rsidRDefault="00E91655" w:rsidP="00E91655">
      <w:pPr>
        <w:numPr>
          <w:ilvl w:val="0"/>
          <w:numId w:val="1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91655">
        <w:rPr>
          <w:rFonts w:ascii="Arial" w:eastAsiaTheme="minorEastAsia" w:hAnsi="Arial" w:cs="Arial"/>
          <w:sz w:val="24"/>
          <w:szCs w:val="24"/>
        </w:rPr>
        <w:t>Proving liability in motor vehicle collision cases:</w:t>
      </w:r>
    </w:p>
    <w:p w:rsidR="00E91655" w:rsidRPr="00E91655" w:rsidRDefault="00E91655" w:rsidP="00E91655">
      <w:pPr>
        <w:numPr>
          <w:ilvl w:val="1"/>
          <w:numId w:val="1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91655">
        <w:rPr>
          <w:rFonts w:ascii="Arial" w:eastAsiaTheme="minorEastAsia" w:hAnsi="Arial" w:cs="Arial"/>
          <w:sz w:val="24"/>
          <w:szCs w:val="24"/>
        </w:rPr>
        <w:t xml:space="preserve">Left turn collisions:  </w:t>
      </w:r>
      <w:r w:rsidRPr="00E91655">
        <w:rPr>
          <w:rFonts w:ascii="Arial" w:eastAsiaTheme="minorEastAsia" w:hAnsi="Arial" w:cs="Arial"/>
          <w:b/>
          <w:sz w:val="24"/>
          <w:szCs w:val="24"/>
        </w:rPr>
        <w:t xml:space="preserve">Reading Assignment: </w:t>
      </w:r>
      <w:proofErr w:type="spellStart"/>
      <w:r w:rsidRPr="00E91655">
        <w:rPr>
          <w:rFonts w:ascii="Arial" w:eastAsiaTheme="minorEastAsia" w:hAnsi="Arial" w:cs="Arial"/>
          <w:b/>
          <w:i/>
          <w:sz w:val="24"/>
          <w:szCs w:val="24"/>
        </w:rPr>
        <w:t>Chima</w:t>
      </w:r>
      <w:proofErr w:type="spellEnd"/>
      <w:r w:rsidRPr="00E91655">
        <w:rPr>
          <w:rFonts w:ascii="Arial" w:eastAsiaTheme="minorEastAsia" w:hAnsi="Arial" w:cs="Arial"/>
          <w:b/>
          <w:i/>
          <w:sz w:val="24"/>
          <w:szCs w:val="24"/>
        </w:rPr>
        <w:t xml:space="preserve"> v. Hans et al, </w:t>
      </w:r>
      <w:r w:rsidRPr="00E91655">
        <w:rPr>
          <w:rFonts w:ascii="Arial" w:eastAsiaTheme="minorEastAsia" w:hAnsi="Arial" w:cs="Arial"/>
          <w:b/>
          <w:sz w:val="24"/>
          <w:szCs w:val="24"/>
        </w:rPr>
        <w:t>Oral Reasons, Bernard J., Vancouver Registry, 20171114 (</w:t>
      </w:r>
      <w:r w:rsidRPr="00E91655">
        <w:rPr>
          <w:rFonts w:ascii="Arial" w:eastAsiaTheme="minorEastAsia" w:hAnsi="Arial" w:cs="Arial"/>
          <w:b/>
          <w:color w:val="FF0000"/>
          <w:sz w:val="24"/>
          <w:szCs w:val="24"/>
        </w:rPr>
        <w:t>PDF posted</w:t>
      </w:r>
      <w:r w:rsidRPr="00E91655">
        <w:rPr>
          <w:rFonts w:ascii="Arial" w:eastAsiaTheme="minorEastAsia" w:hAnsi="Arial" w:cs="Arial"/>
          <w:b/>
          <w:sz w:val="24"/>
          <w:szCs w:val="24"/>
        </w:rPr>
        <w:t>)</w:t>
      </w:r>
    </w:p>
    <w:p w:rsidR="00E91655" w:rsidRPr="00E91655" w:rsidRDefault="00E91655" w:rsidP="00E91655">
      <w:pPr>
        <w:numPr>
          <w:ilvl w:val="1"/>
          <w:numId w:val="1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91655">
        <w:rPr>
          <w:rFonts w:ascii="Arial" w:eastAsiaTheme="minorEastAsia" w:hAnsi="Arial" w:cs="Arial"/>
          <w:sz w:val="24"/>
          <w:szCs w:val="24"/>
        </w:rPr>
        <w:t xml:space="preserve">Rear-end collision / agony of the collision: </w:t>
      </w:r>
      <w:proofErr w:type="spellStart"/>
      <w:r w:rsidRPr="00E91655">
        <w:rPr>
          <w:rFonts w:ascii="Arial" w:eastAsiaTheme="minorEastAsia" w:hAnsi="Arial" w:cs="Arial"/>
          <w:b/>
          <w:i/>
          <w:sz w:val="24"/>
          <w:szCs w:val="24"/>
        </w:rPr>
        <w:t>Uy</w:t>
      </w:r>
      <w:proofErr w:type="spellEnd"/>
      <w:r w:rsidRPr="00E91655">
        <w:rPr>
          <w:rFonts w:ascii="Arial" w:eastAsiaTheme="minorEastAsia" w:hAnsi="Arial" w:cs="Arial"/>
          <w:b/>
          <w:i/>
          <w:sz w:val="24"/>
          <w:szCs w:val="24"/>
        </w:rPr>
        <w:t xml:space="preserve"> v. Dhillon, </w:t>
      </w:r>
      <w:hyperlink r:id="rId7" w:history="1">
        <w:r w:rsidRPr="00E91655">
          <w:rPr>
            <w:rFonts w:ascii="Arial" w:eastAsiaTheme="minorEastAsia" w:hAnsi="Arial" w:cs="Arial"/>
            <w:b/>
            <w:color w:val="0000FF"/>
            <w:sz w:val="24"/>
            <w:szCs w:val="24"/>
            <w:u w:val="single"/>
          </w:rPr>
          <w:t>2019 BCSC 1136</w:t>
        </w:r>
      </w:hyperlink>
    </w:p>
    <w:p w:rsidR="00E91655" w:rsidRPr="00E91655" w:rsidRDefault="00E91655" w:rsidP="00E91655">
      <w:pPr>
        <w:numPr>
          <w:ilvl w:val="1"/>
          <w:numId w:val="1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91655">
        <w:rPr>
          <w:rFonts w:ascii="Arial" w:eastAsiaTheme="minorEastAsia" w:hAnsi="Arial" w:cs="Arial"/>
          <w:sz w:val="24"/>
          <w:szCs w:val="24"/>
        </w:rPr>
        <w:t xml:space="preserve">Apportionment of fault, contributory negligence, joint and several liability: </w:t>
      </w:r>
      <w:r w:rsidRPr="00E91655">
        <w:rPr>
          <w:rFonts w:ascii="Arial" w:eastAsiaTheme="minorEastAsia" w:hAnsi="Arial" w:cs="Arial"/>
          <w:b/>
          <w:i/>
          <w:sz w:val="24"/>
          <w:szCs w:val="24"/>
        </w:rPr>
        <w:t xml:space="preserve">Aberdeen v. </w:t>
      </w:r>
      <w:proofErr w:type="spellStart"/>
      <w:r w:rsidRPr="00E91655">
        <w:rPr>
          <w:rFonts w:ascii="Arial" w:eastAsiaTheme="minorEastAsia" w:hAnsi="Arial" w:cs="Arial"/>
          <w:b/>
          <w:i/>
          <w:sz w:val="24"/>
          <w:szCs w:val="24"/>
        </w:rPr>
        <w:t>Zanatta</w:t>
      </w:r>
      <w:proofErr w:type="spellEnd"/>
      <w:r w:rsidRPr="00E91655">
        <w:rPr>
          <w:rFonts w:ascii="Arial" w:eastAsiaTheme="minorEastAsia" w:hAnsi="Arial" w:cs="Arial"/>
          <w:b/>
          <w:i/>
          <w:sz w:val="24"/>
          <w:szCs w:val="24"/>
        </w:rPr>
        <w:t xml:space="preserve"> et al., </w:t>
      </w:r>
      <w:r w:rsidRPr="00E91655">
        <w:rPr>
          <w:rFonts w:ascii="Arial" w:eastAsiaTheme="minorEastAsia" w:hAnsi="Arial" w:cs="Arial"/>
          <w:b/>
          <w:sz w:val="24"/>
          <w:szCs w:val="24"/>
        </w:rPr>
        <w:t xml:space="preserve">2007 BCSC 993, varied  </w:t>
      </w:r>
      <w:hyperlink r:id="rId8" w:history="1">
        <w:r w:rsidRPr="00E91655">
          <w:rPr>
            <w:rFonts w:ascii="Arial" w:eastAsiaTheme="minorEastAsia" w:hAnsi="Arial" w:cs="Arial"/>
            <w:b/>
            <w:color w:val="0000FF"/>
            <w:sz w:val="24"/>
            <w:szCs w:val="24"/>
            <w:u w:val="single"/>
          </w:rPr>
          <w:t>2008 BCCA 420</w:t>
        </w:r>
      </w:hyperlink>
      <w:r w:rsidRPr="00E91655">
        <w:rPr>
          <w:rFonts w:ascii="Arial" w:eastAsiaTheme="minorEastAsia" w:hAnsi="Arial" w:cs="Arial"/>
          <w:b/>
          <w:color w:val="000000"/>
          <w:sz w:val="24"/>
          <w:szCs w:val="24"/>
        </w:rPr>
        <w:t xml:space="preserve"> </w:t>
      </w:r>
      <w:r w:rsidRPr="00E91655">
        <w:rPr>
          <w:rFonts w:ascii="Arial" w:eastAsiaTheme="minorEastAsia" w:hAnsi="Arial" w:cs="Arial"/>
          <w:b/>
          <w:sz w:val="24"/>
          <w:szCs w:val="24"/>
        </w:rPr>
        <w:t>.</w:t>
      </w:r>
      <w:r w:rsidRPr="00E91655"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E91655" w:rsidRPr="00E91655" w:rsidRDefault="00E91655" w:rsidP="00E91655">
      <w:pPr>
        <w:numPr>
          <w:ilvl w:val="0"/>
          <w:numId w:val="1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91655">
        <w:rPr>
          <w:rFonts w:ascii="Arial" w:eastAsiaTheme="minorEastAsia" w:hAnsi="Arial" w:cs="Arial"/>
          <w:color w:val="000000"/>
          <w:sz w:val="24"/>
          <w:szCs w:val="24"/>
        </w:rPr>
        <w:t xml:space="preserve">Brief discussion of secondary liability </w:t>
      </w:r>
      <w:proofErr w:type="spellStart"/>
      <w:r w:rsidRPr="00E91655">
        <w:rPr>
          <w:rFonts w:ascii="Arial" w:eastAsiaTheme="minorEastAsia" w:hAnsi="Arial" w:cs="Arial"/>
          <w:color w:val="000000"/>
          <w:sz w:val="24"/>
          <w:szCs w:val="24"/>
        </w:rPr>
        <w:t>defences</w:t>
      </w:r>
      <w:proofErr w:type="spellEnd"/>
      <w:r w:rsidRPr="00E91655">
        <w:rPr>
          <w:rFonts w:ascii="Arial" w:eastAsiaTheme="minorEastAsia" w:hAnsi="Arial" w:cs="Arial"/>
          <w:color w:val="000000"/>
          <w:sz w:val="24"/>
          <w:szCs w:val="24"/>
        </w:rPr>
        <w:t xml:space="preserve">: </w:t>
      </w:r>
      <w:proofErr w:type="spellStart"/>
      <w:r w:rsidRPr="00E91655">
        <w:rPr>
          <w:rFonts w:ascii="Arial" w:eastAsiaTheme="minorEastAsia" w:hAnsi="Arial" w:cs="Arial"/>
          <w:i/>
          <w:color w:val="000000"/>
          <w:sz w:val="24"/>
          <w:szCs w:val="24"/>
        </w:rPr>
        <w:t>volenti</w:t>
      </w:r>
      <w:proofErr w:type="spellEnd"/>
      <w:r w:rsidRPr="00E91655">
        <w:rPr>
          <w:rFonts w:ascii="Arial" w:eastAsiaTheme="minorEastAsia" w:hAnsi="Arial" w:cs="Arial"/>
          <w:i/>
          <w:color w:val="000000"/>
          <w:sz w:val="24"/>
          <w:szCs w:val="24"/>
        </w:rPr>
        <w:t xml:space="preserve"> non fit injuria, ex </w:t>
      </w:r>
      <w:proofErr w:type="spellStart"/>
      <w:r w:rsidRPr="00E91655">
        <w:rPr>
          <w:rFonts w:ascii="Arial" w:eastAsiaTheme="minorEastAsia" w:hAnsi="Arial" w:cs="Arial"/>
          <w:i/>
          <w:color w:val="000000"/>
          <w:sz w:val="24"/>
          <w:szCs w:val="24"/>
        </w:rPr>
        <w:t>turpi</w:t>
      </w:r>
      <w:proofErr w:type="spellEnd"/>
      <w:r w:rsidRPr="00E91655">
        <w:rPr>
          <w:rFonts w:ascii="Arial" w:eastAsiaTheme="minorEastAsia" w:hAnsi="Arial" w:cs="Arial"/>
          <w:i/>
          <w:color w:val="000000"/>
          <w:sz w:val="24"/>
          <w:szCs w:val="24"/>
        </w:rPr>
        <w:t xml:space="preserve"> causa </w:t>
      </w:r>
      <w:r w:rsidRPr="00E91655">
        <w:rPr>
          <w:rFonts w:ascii="Arial" w:eastAsiaTheme="minorEastAsia" w:hAnsi="Arial" w:cs="Arial"/>
          <w:color w:val="000000"/>
          <w:sz w:val="24"/>
          <w:szCs w:val="24"/>
        </w:rPr>
        <w:t>(to be covered in more detail in week 6)</w:t>
      </w:r>
    </w:p>
    <w:p w:rsidR="00E91655" w:rsidRPr="00E91655" w:rsidRDefault="00E91655" w:rsidP="00E91655">
      <w:pPr>
        <w:numPr>
          <w:ilvl w:val="0"/>
          <w:numId w:val="1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91655">
        <w:rPr>
          <w:rFonts w:ascii="Arial" w:eastAsiaTheme="minorEastAsia" w:hAnsi="Arial" w:cs="Arial"/>
          <w:color w:val="000000"/>
          <w:sz w:val="24"/>
          <w:szCs w:val="24"/>
        </w:rPr>
        <w:t xml:space="preserve">Vicarious liability: why, how, and when: </w:t>
      </w:r>
      <w:r w:rsidRPr="00E91655">
        <w:rPr>
          <w:rFonts w:ascii="Arial" w:eastAsiaTheme="minorEastAsia" w:hAnsi="Arial" w:cs="Arial"/>
          <w:b/>
          <w:i/>
          <w:sz w:val="24"/>
          <w:szCs w:val="24"/>
          <w:u w:val="single"/>
        </w:rPr>
        <w:t xml:space="preserve">Bowe v. Bowe, </w:t>
      </w:r>
      <w:hyperlink r:id="rId9" w:history="1">
        <w:r w:rsidRPr="00E91655">
          <w:rPr>
            <w:rFonts w:ascii="Arial" w:eastAsiaTheme="minorEastAsia" w:hAnsi="Arial" w:cs="Arial"/>
            <w:b/>
            <w:color w:val="0000FF"/>
            <w:sz w:val="24"/>
            <w:szCs w:val="24"/>
            <w:u w:val="single"/>
          </w:rPr>
          <w:t>2019 BCSC 1454</w:t>
        </w:r>
      </w:hyperlink>
    </w:p>
    <w:p w:rsidR="00E91655" w:rsidRPr="00E91655" w:rsidRDefault="00E91655" w:rsidP="00E91655">
      <w:pPr>
        <w:numPr>
          <w:ilvl w:val="0"/>
          <w:numId w:val="1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91655">
        <w:rPr>
          <w:rFonts w:ascii="Arial" w:eastAsiaTheme="minorEastAsia" w:hAnsi="Arial" w:cs="Arial"/>
          <w:color w:val="000000"/>
          <w:sz w:val="24"/>
          <w:szCs w:val="24"/>
        </w:rPr>
        <w:t>Psychology of persuasion: using the “Rules of the Road” to prove liability by polarizing the case.</w:t>
      </w:r>
    </w:p>
    <w:p w:rsidR="00E91655" w:rsidRPr="00E91655" w:rsidRDefault="00E91655" w:rsidP="00E91655">
      <w:pPr>
        <w:widowControl w:val="0"/>
        <w:numPr>
          <w:ilvl w:val="1"/>
          <w:numId w:val="13"/>
        </w:numPr>
        <w:tabs>
          <w:tab w:val="left" w:pos="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b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b/>
          <w:i/>
          <w:sz w:val="24"/>
          <w:szCs w:val="24"/>
          <w:lang w:val="en-CA"/>
        </w:rPr>
        <w:t xml:space="preserve">Davies v. </w:t>
      </w:r>
      <w:proofErr w:type="spellStart"/>
      <w:r w:rsidRPr="00E91655">
        <w:rPr>
          <w:rFonts w:ascii="Arial" w:eastAsiaTheme="minorEastAsia" w:hAnsi="Arial" w:cs="Arial"/>
          <w:b/>
          <w:i/>
          <w:sz w:val="24"/>
          <w:szCs w:val="24"/>
          <w:lang w:val="en-CA"/>
        </w:rPr>
        <w:t>Elston</w:t>
      </w:r>
      <w:proofErr w:type="spellEnd"/>
      <w:r w:rsidRPr="00E91655">
        <w:rPr>
          <w:rFonts w:ascii="Arial" w:eastAsiaTheme="minorEastAsia" w:hAnsi="Arial" w:cs="Arial"/>
          <w:b/>
          <w:sz w:val="24"/>
          <w:szCs w:val="24"/>
          <w:lang w:val="en-CA"/>
        </w:rPr>
        <w:t xml:space="preserve">, </w:t>
      </w:r>
      <w:hyperlink r:id="rId10" w:history="1">
        <w:r w:rsidRPr="00E91655">
          <w:rPr>
            <w:rFonts w:ascii="Arial" w:eastAsiaTheme="minorEastAsia" w:hAnsi="Arial" w:cs="Arial"/>
            <w:b/>
            <w:color w:val="0000FF"/>
            <w:sz w:val="24"/>
            <w:szCs w:val="20"/>
            <w:u w:val="single"/>
            <w:lang w:val="en-CA"/>
          </w:rPr>
          <w:t>2014 BCSC 2435</w:t>
        </w:r>
      </w:hyperlink>
      <w:r w:rsidRPr="00E91655">
        <w:rPr>
          <w:rFonts w:ascii="Arial" w:eastAsiaTheme="minorEastAsia" w:hAnsi="Arial" w:cs="Arial"/>
          <w:b/>
          <w:sz w:val="24"/>
          <w:szCs w:val="20"/>
          <w:lang w:val="en-CA"/>
        </w:rPr>
        <w:t xml:space="preserve"> </w:t>
      </w:r>
      <w:r w:rsidRPr="00E91655">
        <w:rPr>
          <w:rFonts w:ascii="Arial" w:eastAsiaTheme="minorEastAsia" w:hAnsi="Arial" w:cs="Arial"/>
          <w:b/>
          <w:sz w:val="28"/>
          <w:szCs w:val="24"/>
          <w:lang w:val="en-CA"/>
        </w:rPr>
        <w:t>.</w:t>
      </w:r>
    </w:p>
    <w:p w:rsidR="00E91655" w:rsidRPr="00E91655" w:rsidRDefault="00E91655" w:rsidP="00E91655">
      <w:pPr>
        <w:spacing w:after="0" w:line="240" w:lineRule="auto"/>
        <w:rPr>
          <w:rFonts w:ascii="Arial" w:eastAsiaTheme="minorEastAsia" w:hAnsi="Arial" w:cs="Arial"/>
          <w:i/>
          <w:lang w:val="en-CA"/>
        </w:rPr>
      </w:pPr>
    </w:p>
    <w:p w:rsidR="00E91655" w:rsidRPr="00E91655" w:rsidRDefault="00E91655" w:rsidP="00E91655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val="en-CA"/>
        </w:rPr>
      </w:pPr>
    </w:p>
    <w:p w:rsidR="00E91655" w:rsidRPr="00E91655" w:rsidRDefault="00E91655" w:rsidP="00E91655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W</w:t>
      </w:r>
      <w:r w:rsidRPr="00E91655">
        <w:rPr>
          <w:rFonts w:ascii="Arial" w:eastAsiaTheme="minorEastAsia" w:hAnsi="Arial" w:cs="Arial"/>
          <w:b/>
          <w:bCs/>
          <w:spacing w:val="-1"/>
          <w:position w:val="-1"/>
          <w:sz w:val="24"/>
          <w:szCs w:val="24"/>
          <w:lang w:val="en-CA"/>
        </w:rPr>
        <w:t>EE</w:t>
      </w:r>
      <w:r w:rsidRPr="00E91655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K</w:t>
      </w:r>
      <w:r w:rsidRPr="00E91655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 xml:space="preserve"> </w:t>
      </w:r>
      <w:r w:rsidRPr="00E91655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3:</w:t>
      </w:r>
      <w:r w:rsidRPr="00E91655">
        <w:rPr>
          <w:rFonts w:ascii="Arial" w:eastAsiaTheme="minorEastAsia" w:hAnsi="Arial" w:cs="Arial"/>
          <w:bCs/>
          <w:position w:val="-1"/>
          <w:sz w:val="24"/>
          <w:szCs w:val="24"/>
          <w:lang w:val="en-CA"/>
        </w:rPr>
        <w:t xml:space="preserve"> </w:t>
      </w:r>
      <w:r w:rsidRPr="00E91655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JANUARY 25, 2021</w:t>
      </w: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 - </w:t>
      </w:r>
      <w:r w:rsidRPr="00E91655">
        <w:rPr>
          <w:rFonts w:ascii="Arial" w:eastAsiaTheme="minorEastAsia" w:hAnsi="Arial" w:cs="Arial"/>
          <w:b/>
          <w:bCs/>
          <w:sz w:val="24"/>
          <w:szCs w:val="24"/>
          <w:lang w:val="en-CA"/>
        </w:rPr>
        <w:t>Causation</w:t>
      </w:r>
    </w:p>
    <w:p w:rsidR="00E91655" w:rsidRPr="00E91655" w:rsidRDefault="00E91655" w:rsidP="00E91655">
      <w:pPr>
        <w:widowControl w:val="0"/>
        <w:autoSpaceDE w:val="0"/>
        <w:autoSpaceDN w:val="0"/>
        <w:adjustRightInd w:val="0"/>
        <w:spacing w:before="15" w:after="0" w:line="280" w:lineRule="exact"/>
        <w:jc w:val="both"/>
        <w:rPr>
          <w:rFonts w:ascii="Arial" w:eastAsiaTheme="minorEastAsia" w:hAnsi="Arial" w:cs="Arial"/>
          <w:sz w:val="28"/>
          <w:szCs w:val="28"/>
          <w:lang w:val="en-CA"/>
        </w:rPr>
      </w:pPr>
    </w:p>
    <w:p w:rsidR="00E91655" w:rsidRPr="00E91655" w:rsidRDefault="00E91655" w:rsidP="00E91655">
      <w:pPr>
        <w:widowControl w:val="0"/>
        <w:numPr>
          <w:ilvl w:val="0"/>
          <w:numId w:val="5"/>
        </w:numPr>
        <w:tabs>
          <w:tab w:val="left" w:pos="800"/>
          <w:tab w:val="left" w:pos="7020"/>
        </w:tabs>
        <w:autoSpaceDE w:val="0"/>
        <w:autoSpaceDN w:val="0"/>
        <w:adjustRightInd w:val="0"/>
        <w:spacing w:before="22" w:after="0" w:line="276" w:lineRule="exact"/>
        <w:ind w:right="76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pacing w:val="1"/>
          <w:sz w:val="24"/>
          <w:szCs w:val="24"/>
          <w:lang w:val="en-CA"/>
        </w:rPr>
        <w:t xml:space="preserve">Defining causation in the Supreme Court of Canada: </w:t>
      </w:r>
      <w:proofErr w:type="spellStart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>Athey</w:t>
      </w:r>
      <w:proofErr w:type="spellEnd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 xml:space="preserve"> v. </w:t>
      </w:r>
      <w:proofErr w:type="spellStart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>Leonati</w:t>
      </w:r>
      <w:proofErr w:type="spellEnd"/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 1996 3 SCR 458; </w:t>
      </w:r>
      <w:proofErr w:type="spellStart"/>
      <w:r w:rsidRPr="00E91655">
        <w:rPr>
          <w:rFonts w:ascii="Arial" w:eastAsiaTheme="minorEastAsia" w:hAnsi="Arial" w:cs="Arial"/>
          <w:i/>
          <w:spacing w:val="1"/>
          <w:sz w:val="24"/>
          <w:szCs w:val="24"/>
          <w:lang w:val="en-CA"/>
        </w:rPr>
        <w:t>Athey</w:t>
      </w:r>
      <w:proofErr w:type="spellEnd"/>
      <w:r w:rsidRPr="00E91655">
        <w:rPr>
          <w:rFonts w:ascii="Arial" w:eastAsiaTheme="minorEastAsia" w:hAnsi="Arial" w:cs="Arial"/>
          <w:spacing w:val="1"/>
          <w:sz w:val="24"/>
          <w:szCs w:val="24"/>
          <w:lang w:val="en-CA"/>
        </w:rPr>
        <w:t xml:space="preserve">, </w:t>
      </w:r>
      <w:proofErr w:type="spellStart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>Resurfice</w:t>
      </w:r>
      <w:proofErr w:type="spellEnd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 xml:space="preserve"> Corp. v. </w:t>
      </w:r>
      <w:proofErr w:type="spellStart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>Hanke</w:t>
      </w:r>
      <w:proofErr w:type="spellEnd"/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 2007 1 SCR 333 </w:t>
      </w:r>
      <w:proofErr w:type="spellStart"/>
      <w:r w:rsidRPr="00E91655">
        <w:rPr>
          <w:rFonts w:ascii="Arial" w:eastAsiaTheme="minorEastAsia" w:hAnsi="Arial" w:cs="Arial"/>
          <w:i/>
          <w:spacing w:val="1"/>
          <w:sz w:val="24"/>
          <w:szCs w:val="24"/>
          <w:lang w:val="en-CA"/>
        </w:rPr>
        <w:t>Resurfice</w:t>
      </w:r>
      <w:proofErr w:type="spellEnd"/>
      <w:r w:rsidRPr="00E91655">
        <w:rPr>
          <w:rFonts w:ascii="Arial" w:eastAsiaTheme="minorEastAsia" w:hAnsi="Arial" w:cs="Arial"/>
          <w:spacing w:val="1"/>
          <w:sz w:val="24"/>
          <w:szCs w:val="24"/>
          <w:lang w:val="en-CA"/>
        </w:rPr>
        <w:t xml:space="preserve">, and </w:t>
      </w:r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>Clements v. Clements</w:t>
      </w: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 2012 SCC 32.</w:t>
      </w:r>
    </w:p>
    <w:p w:rsidR="00E91655" w:rsidRPr="00E91655" w:rsidRDefault="00E91655" w:rsidP="00E91655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Arial" w:eastAsiaTheme="minorEastAsia" w:hAnsi="Arial" w:cs="Arial"/>
          <w:sz w:val="26"/>
          <w:szCs w:val="26"/>
          <w:lang w:val="en-CA"/>
        </w:rPr>
      </w:pPr>
    </w:p>
    <w:p w:rsidR="00E91655" w:rsidRPr="00E91655" w:rsidRDefault="00E91655" w:rsidP="00E916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>Two tests for causation: “but for” test and “material contribution test”.</w:t>
      </w:r>
    </w:p>
    <w:p w:rsidR="00E91655" w:rsidRPr="00E91655" w:rsidRDefault="00E91655" w:rsidP="00E91655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Complex causation issues: pre-existing injuries or health conditions; multiple tortious and non-tortious events; divisible and indivisible injuries: </w:t>
      </w:r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>James D, “Defending Claims Involving The Issue Of Divisible Versus Indivisible Injuries” Continuing Legal Education Society of British Columbia, Personal Injury Conference 2013.</w:t>
      </w:r>
    </w:p>
    <w:p w:rsidR="00E91655" w:rsidRPr="00E91655" w:rsidRDefault="00E91655" w:rsidP="00E9165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Psychological injuries as a special case: </w:t>
      </w:r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 xml:space="preserve">Mustapha v. </w:t>
      </w:r>
      <w:proofErr w:type="spellStart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>Culligan</w:t>
      </w:r>
      <w:proofErr w:type="spellEnd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 xml:space="preserve"> of Canada Ltd</w:t>
      </w:r>
      <w:r w:rsidRPr="00E91655">
        <w:rPr>
          <w:rFonts w:ascii="Arial" w:eastAsiaTheme="minorEastAsia" w:hAnsi="Arial" w:cs="Arial"/>
          <w:sz w:val="24"/>
          <w:szCs w:val="24"/>
          <w:lang w:val="en-CA"/>
        </w:rPr>
        <w:t>. 2008 SCC 27.</w:t>
      </w:r>
    </w:p>
    <w:p w:rsidR="00E91655" w:rsidRPr="00E91655" w:rsidRDefault="00E91655" w:rsidP="00E91655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Psychology of persuasion: proving causation in the complex chronic pain case – </w:t>
      </w:r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 xml:space="preserve">Foster v. </w:t>
      </w:r>
      <w:proofErr w:type="spellStart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>Kindlan</w:t>
      </w:r>
      <w:proofErr w:type="spellEnd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 xml:space="preserve"> and </w:t>
      </w:r>
      <w:proofErr w:type="spellStart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>Pineau</w:t>
      </w:r>
      <w:proofErr w:type="spellEnd"/>
      <w:r w:rsidRPr="00E91655">
        <w:rPr>
          <w:rFonts w:ascii="Arial" w:eastAsiaTheme="minorEastAsia" w:hAnsi="Arial" w:cs="Arial"/>
          <w:sz w:val="24"/>
          <w:szCs w:val="24"/>
          <w:lang w:val="en-CA"/>
        </w:rPr>
        <w:t>, 2012 BCSC 681 – case example involving labral hip tear and long-standing per-existing history of low back pain.</w:t>
      </w:r>
    </w:p>
    <w:p w:rsidR="00E91655" w:rsidRPr="00E91655" w:rsidRDefault="00E91655" w:rsidP="00E91655">
      <w:pPr>
        <w:tabs>
          <w:tab w:val="left" w:pos="342"/>
        </w:tabs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en-CA"/>
        </w:rPr>
      </w:pPr>
    </w:p>
    <w:p w:rsidR="00E91655" w:rsidRPr="00E91655" w:rsidRDefault="00E91655" w:rsidP="00E91655">
      <w:pPr>
        <w:tabs>
          <w:tab w:val="left" w:pos="342"/>
        </w:tabs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en-CA"/>
        </w:rPr>
      </w:pPr>
    </w:p>
    <w:p w:rsidR="00E91655" w:rsidRPr="00E91655" w:rsidRDefault="00E91655" w:rsidP="00E91655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W</w:t>
      </w:r>
      <w:r w:rsidRPr="00E91655">
        <w:rPr>
          <w:rFonts w:ascii="Arial" w:eastAsiaTheme="minorEastAsia" w:hAnsi="Arial" w:cs="Arial"/>
          <w:b/>
          <w:bCs/>
          <w:spacing w:val="-1"/>
          <w:position w:val="-1"/>
          <w:sz w:val="24"/>
          <w:szCs w:val="24"/>
          <w:lang w:val="en-CA"/>
        </w:rPr>
        <w:t>EE</w:t>
      </w:r>
      <w:r w:rsidRPr="00E91655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K</w:t>
      </w:r>
      <w:r w:rsidRPr="00E91655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 xml:space="preserve"> </w:t>
      </w:r>
      <w:r w:rsidRPr="00E91655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4:</w:t>
      </w:r>
      <w:r w:rsidRPr="00E91655">
        <w:rPr>
          <w:rFonts w:ascii="Arial" w:eastAsiaTheme="minorEastAsia" w:hAnsi="Arial" w:cs="Arial"/>
          <w:bCs/>
          <w:position w:val="-1"/>
          <w:sz w:val="24"/>
          <w:szCs w:val="24"/>
          <w:lang w:val="en-CA"/>
        </w:rPr>
        <w:t xml:space="preserve"> </w:t>
      </w:r>
      <w:r w:rsidRPr="00E91655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February 1, 2021</w:t>
      </w: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 - </w:t>
      </w:r>
      <w:r w:rsidRPr="00E91655">
        <w:rPr>
          <w:rFonts w:ascii="Arial" w:eastAsiaTheme="minorEastAsia" w:hAnsi="Arial" w:cs="Arial"/>
          <w:b/>
          <w:bCs/>
          <w:sz w:val="24"/>
          <w:szCs w:val="24"/>
          <w:lang w:val="en-CA"/>
        </w:rPr>
        <w:t>Non</w:t>
      </w:r>
      <w:r w:rsidRPr="00E91655">
        <w:rPr>
          <w:rFonts w:ascii="Arial" w:eastAsiaTheme="minorEastAsia" w:hAnsi="Arial" w:cs="Arial"/>
          <w:b/>
          <w:bCs/>
          <w:spacing w:val="-1"/>
          <w:sz w:val="24"/>
          <w:szCs w:val="24"/>
          <w:lang w:val="en-CA"/>
        </w:rPr>
        <w:t>-</w:t>
      </w:r>
      <w:r w:rsidRPr="00E91655">
        <w:rPr>
          <w:rFonts w:ascii="Arial" w:eastAsiaTheme="minorEastAsia" w:hAnsi="Arial" w:cs="Arial"/>
          <w:b/>
          <w:bCs/>
          <w:spacing w:val="1"/>
          <w:sz w:val="24"/>
          <w:szCs w:val="24"/>
          <w:lang w:val="en-CA"/>
        </w:rPr>
        <w:t>p</w:t>
      </w:r>
      <w:r w:rsidRPr="00E91655">
        <w:rPr>
          <w:rFonts w:ascii="Arial" w:eastAsiaTheme="minorEastAsia" w:hAnsi="Arial" w:cs="Arial"/>
          <w:b/>
          <w:bCs/>
          <w:spacing w:val="-1"/>
          <w:sz w:val="24"/>
          <w:szCs w:val="24"/>
          <w:lang w:val="en-CA"/>
        </w:rPr>
        <w:t>ec</w:t>
      </w:r>
      <w:r w:rsidRPr="00E91655">
        <w:rPr>
          <w:rFonts w:ascii="Arial" w:eastAsiaTheme="minorEastAsia" w:hAnsi="Arial" w:cs="Arial"/>
          <w:b/>
          <w:bCs/>
          <w:spacing w:val="1"/>
          <w:sz w:val="24"/>
          <w:szCs w:val="24"/>
          <w:lang w:val="en-CA"/>
        </w:rPr>
        <w:t>un</w:t>
      </w:r>
      <w:r w:rsidRPr="00E91655">
        <w:rPr>
          <w:rFonts w:ascii="Arial" w:eastAsiaTheme="minorEastAsia" w:hAnsi="Arial" w:cs="Arial"/>
          <w:b/>
          <w:bCs/>
          <w:sz w:val="24"/>
          <w:szCs w:val="24"/>
          <w:lang w:val="en-CA"/>
        </w:rPr>
        <w:t>iary da</w:t>
      </w:r>
      <w:r w:rsidRPr="00E91655">
        <w:rPr>
          <w:rFonts w:ascii="Arial" w:eastAsiaTheme="minorEastAsia" w:hAnsi="Arial" w:cs="Arial"/>
          <w:b/>
          <w:bCs/>
          <w:spacing w:val="-3"/>
          <w:sz w:val="24"/>
          <w:szCs w:val="24"/>
          <w:lang w:val="en-CA"/>
        </w:rPr>
        <w:t>m</w:t>
      </w:r>
      <w:r w:rsidRPr="00E91655">
        <w:rPr>
          <w:rFonts w:ascii="Arial" w:eastAsiaTheme="minorEastAsia" w:hAnsi="Arial" w:cs="Arial"/>
          <w:b/>
          <w:bCs/>
          <w:sz w:val="24"/>
          <w:szCs w:val="24"/>
          <w:lang w:val="en-CA"/>
        </w:rPr>
        <w:t>ag</w:t>
      </w:r>
      <w:r w:rsidRPr="00E91655">
        <w:rPr>
          <w:rFonts w:ascii="Arial" w:eastAsiaTheme="minorEastAsia" w:hAnsi="Arial" w:cs="Arial"/>
          <w:b/>
          <w:bCs/>
          <w:spacing w:val="1"/>
          <w:sz w:val="24"/>
          <w:szCs w:val="24"/>
          <w:lang w:val="en-CA"/>
        </w:rPr>
        <w:t>e</w:t>
      </w:r>
      <w:r w:rsidRPr="00E91655">
        <w:rPr>
          <w:rFonts w:ascii="Arial" w:eastAsiaTheme="minorEastAsia" w:hAnsi="Arial" w:cs="Arial"/>
          <w:b/>
          <w:bCs/>
          <w:sz w:val="24"/>
          <w:szCs w:val="24"/>
          <w:lang w:val="en-CA"/>
        </w:rPr>
        <w:t>s</w:t>
      </w:r>
    </w:p>
    <w:p w:rsidR="00E91655" w:rsidRPr="00E91655" w:rsidRDefault="00E91655" w:rsidP="00E91655">
      <w:pPr>
        <w:tabs>
          <w:tab w:val="left" w:pos="342"/>
        </w:tabs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  <w:r w:rsidRPr="00E91655">
        <w:rPr>
          <w:rFonts w:ascii="Arial" w:eastAsiaTheme="minorEastAsia" w:hAnsi="Arial" w:cs="Arial"/>
          <w:color w:val="000000"/>
        </w:rPr>
        <w:t>Compensation for a plaintiff in a personal injury claim must fall under “heads of damage”:</w:t>
      </w:r>
    </w:p>
    <w:p w:rsidR="00E91655" w:rsidRPr="00E91655" w:rsidRDefault="00E91655" w:rsidP="00E91655">
      <w:pPr>
        <w:spacing w:after="0" w:line="240" w:lineRule="auto"/>
        <w:ind w:left="720"/>
        <w:contextualSpacing/>
        <w:rPr>
          <w:rFonts w:ascii="Arial" w:eastAsiaTheme="minorEastAsia" w:hAnsi="Arial" w:cs="Arial"/>
          <w:lang w:val="en-CA"/>
        </w:rPr>
      </w:pPr>
    </w:p>
    <w:p w:rsidR="00E91655" w:rsidRPr="00E91655" w:rsidRDefault="00E91655" w:rsidP="00E91655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  <w:r w:rsidRPr="00E91655">
        <w:rPr>
          <w:rFonts w:ascii="Arial" w:eastAsiaTheme="minorEastAsia" w:hAnsi="Arial" w:cs="Arial"/>
          <w:color w:val="000000"/>
        </w:rPr>
        <w:t>Non-Pecuniary Damages (i.e. “pain and suffering”)</w:t>
      </w:r>
    </w:p>
    <w:p w:rsidR="00E91655" w:rsidRPr="00E91655" w:rsidRDefault="00E91655" w:rsidP="00E91655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  <w:r w:rsidRPr="00E91655">
        <w:rPr>
          <w:rFonts w:ascii="Arial" w:eastAsiaTheme="minorEastAsia" w:hAnsi="Arial" w:cs="Arial"/>
          <w:color w:val="000000"/>
        </w:rPr>
        <w:t>Past Income Loss (i.e. income lost up to the date of trial/settlement)</w:t>
      </w:r>
    </w:p>
    <w:p w:rsidR="00E91655" w:rsidRPr="00E91655" w:rsidRDefault="00E91655" w:rsidP="00E91655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  <w:r w:rsidRPr="00E91655">
        <w:rPr>
          <w:rFonts w:ascii="Arial" w:eastAsiaTheme="minorEastAsia" w:hAnsi="Arial" w:cs="Arial"/>
          <w:color w:val="000000"/>
        </w:rPr>
        <w:t>Loss of Earning Capacity (i.e. income that will be lost after the trial/settlement)</w:t>
      </w:r>
    </w:p>
    <w:p w:rsidR="00E91655" w:rsidRPr="00E91655" w:rsidRDefault="00E91655" w:rsidP="00E91655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  <w:r w:rsidRPr="00E91655">
        <w:rPr>
          <w:rFonts w:ascii="Arial" w:eastAsiaTheme="minorEastAsia" w:hAnsi="Arial" w:cs="Arial"/>
          <w:color w:val="000000"/>
        </w:rPr>
        <w:t>Special Damages (out of pocket expenses for treatments, medications, etc.)</w:t>
      </w:r>
    </w:p>
    <w:p w:rsidR="00E91655" w:rsidRPr="00E91655" w:rsidRDefault="00E91655" w:rsidP="00E91655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  <w:r w:rsidRPr="00E91655">
        <w:rPr>
          <w:rFonts w:ascii="Arial" w:eastAsiaTheme="minorEastAsia" w:hAnsi="Arial" w:cs="Arial"/>
          <w:color w:val="000000"/>
        </w:rPr>
        <w:t>Cost of Future Care (i.e. cost of treatments after trial/settlement)</w:t>
      </w:r>
    </w:p>
    <w:p w:rsidR="00E91655" w:rsidRPr="00E91655" w:rsidRDefault="00E91655" w:rsidP="00E91655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  <w:r w:rsidRPr="00E91655">
        <w:rPr>
          <w:rFonts w:ascii="Arial" w:eastAsiaTheme="minorEastAsia" w:hAnsi="Arial" w:cs="Arial"/>
          <w:color w:val="000000"/>
        </w:rPr>
        <w:t>“In Trust” Claim (the cost of services provided by loved ones)</w:t>
      </w:r>
    </w:p>
    <w:p w:rsidR="00E91655" w:rsidRPr="00E91655" w:rsidRDefault="00E91655" w:rsidP="00E916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EastAsia" w:hAnsi="Arial" w:cs="Arial"/>
          <w:color w:val="000000"/>
        </w:rPr>
      </w:pPr>
    </w:p>
    <w:p w:rsidR="00E91655" w:rsidRPr="00E91655" w:rsidRDefault="00E91655" w:rsidP="00E9165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  <w:r w:rsidRPr="00E91655">
        <w:rPr>
          <w:rFonts w:ascii="Arial" w:eastAsiaTheme="minorEastAsia" w:hAnsi="Arial" w:cs="Arial"/>
          <w:color w:val="000000"/>
        </w:rPr>
        <w:t>Today we will look at the theoretical justification for non-pecuniary damages and the valuation of these damages in various case examples, as well as non-compensatory damages, such as punitive damages and aggravated damages.</w:t>
      </w:r>
    </w:p>
    <w:p w:rsidR="00E91655" w:rsidRPr="00E91655" w:rsidRDefault="00E91655" w:rsidP="00E916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EastAsia" w:hAnsi="Arial" w:cs="Arial"/>
          <w:b/>
          <w:color w:val="000000"/>
        </w:rPr>
      </w:pPr>
    </w:p>
    <w:p w:rsidR="00E91655" w:rsidRPr="00E91655" w:rsidRDefault="00E91655" w:rsidP="00E9165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color w:val="000000"/>
        </w:rPr>
      </w:pPr>
      <w:r w:rsidRPr="00E91655">
        <w:rPr>
          <w:rFonts w:ascii="Arial" w:eastAsiaTheme="minorEastAsia" w:hAnsi="Arial" w:cs="Arial"/>
          <w:color w:val="000000"/>
        </w:rPr>
        <w:t xml:space="preserve">Non-Pecuniary Damages: Pain, suffering, loss of enjoyment of life, and loss of amenities – quantifying the unquantifiable - </w:t>
      </w:r>
      <w:proofErr w:type="spellStart"/>
      <w:r w:rsidRPr="00E91655">
        <w:rPr>
          <w:rFonts w:ascii="Arial" w:eastAsiaTheme="minorEastAsia" w:hAnsi="Arial" w:cs="Arial"/>
          <w:b/>
          <w:i/>
          <w:color w:val="000000"/>
        </w:rPr>
        <w:t>Stapley</w:t>
      </w:r>
      <w:proofErr w:type="spellEnd"/>
      <w:r w:rsidRPr="00E91655">
        <w:rPr>
          <w:rFonts w:ascii="Arial" w:eastAsiaTheme="minorEastAsia" w:hAnsi="Arial" w:cs="Arial"/>
          <w:b/>
          <w:i/>
          <w:color w:val="000000"/>
        </w:rPr>
        <w:t xml:space="preserve"> v. </w:t>
      </w:r>
      <w:proofErr w:type="spellStart"/>
      <w:r w:rsidRPr="00E91655">
        <w:rPr>
          <w:rFonts w:ascii="Arial" w:eastAsiaTheme="minorEastAsia" w:hAnsi="Arial" w:cs="Arial"/>
          <w:b/>
          <w:i/>
          <w:color w:val="000000"/>
        </w:rPr>
        <w:t>Hejslet</w:t>
      </w:r>
      <w:proofErr w:type="spellEnd"/>
      <w:r w:rsidRPr="00E91655">
        <w:rPr>
          <w:rFonts w:ascii="Arial" w:eastAsiaTheme="minorEastAsia" w:hAnsi="Arial" w:cs="Arial"/>
          <w:b/>
          <w:i/>
          <w:color w:val="000000"/>
        </w:rPr>
        <w:t>,</w:t>
      </w:r>
      <w:r w:rsidRPr="00E91655">
        <w:rPr>
          <w:rFonts w:ascii="Arial" w:eastAsiaTheme="minorEastAsia" w:hAnsi="Arial" w:cs="Arial"/>
          <w:b/>
          <w:color w:val="000000"/>
        </w:rPr>
        <w:t xml:space="preserve"> 2006 BCCA 34.</w:t>
      </w:r>
    </w:p>
    <w:p w:rsidR="00E91655" w:rsidRPr="00E91655" w:rsidRDefault="00E91655" w:rsidP="00E91655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lang w:val="en-CA"/>
        </w:rPr>
      </w:pPr>
    </w:p>
    <w:p w:rsidR="00E91655" w:rsidRPr="00E91655" w:rsidRDefault="00E91655" w:rsidP="00E9165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  <w:r w:rsidRPr="00E91655">
        <w:rPr>
          <w:rFonts w:ascii="Arial" w:eastAsiaTheme="minorEastAsia" w:hAnsi="Arial" w:cs="Arial"/>
          <w:color w:val="000000"/>
        </w:rPr>
        <w:t xml:space="preserve">Special cases: </w:t>
      </w:r>
    </w:p>
    <w:p w:rsidR="00E91655" w:rsidRPr="00E91655" w:rsidRDefault="00E91655" w:rsidP="00E91655">
      <w:pPr>
        <w:spacing w:after="0" w:line="240" w:lineRule="auto"/>
        <w:ind w:left="720"/>
        <w:contextualSpacing/>
        <w:rPr>
          <w:rFonts w:ascii="Arial" w:eastAsiaTheme="minorEastAsia" w:hAnsi="Arial" w:cs="Arial"/>
          <w:lang w:val="en-CA"/>
        </w:rPr>
      </w:pPr>
    </w:p>
    <w:p w:rsidR="00E91655" w:rsidRPr="00E91655" w:rsidRDefault="00E91655" w:rsidP="00E91655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  <w:r w:rsidRPr="00E91655">
        <w:rPr>
          <w:rFonts w:ascii="Arial" w:eastAsiaTheme="minorEastAsia" w:hAnsi="Arial" w:cs="Arial"/>
          <w:color w:val="000000"/>
        </w:rPr>
        <w:t>Elderly individuals (</w:t>
      </w:r>
      <w:proofErr w:type="spellStart"/>
      <w:r w:rsidRPr="00E91655">
        <w:rPr>
          <w:rFonts w:ascii="Arial" w:eastAsiaTheme="minorEastAsia" w:hAnsi="Arial" w:cs="Arial"/>
          <w:i/>
          <w:color w:val="000000"/>
        </w:rPr>
        <w:t>Etson</w:t>
      </w:r>
      <w:proofErr w:type="spellEnd"/>
      <w:r w:rsidRPr="00E91655">
        <w:rPr>
          <w:rFonts w:ascii="Arial" w:eastAsiaTheme="minorEastAsia" w:hAnsi="Arial" w:cs="Arial"/>
          <w:i/>
          <w:color w:val="000000"/>
        </w:rPr>
        <w:t xml:space="preserve"> v. Loblaw Companies Limited,</w:t>
      </w:r>
      <w:r w:rsidRPr="00E91655">
        <w:rPr>
          <w:rFonts w:ascii="Arial" w:eastAsiaTheme="minorEastAsia" w:hAnsi="Arial" w:cs="Arial"/>
          <w:color w:val="000000"/>
        </w:rPr>
        <w:t xml:space="preserve"> 2010 BCSC 1865, </w:t>
      </w:r>
      <w:r w:rsidRPr="00E91655">
        <w:rPr>
          <w:rFonts w:ascii="Arial" w:eastAsiaTheme="minorEastAsia" w:hAnsi="Arial" w:cs="Arial"/>
          <w:i/>
          <w:color w:val="000000"/>
        </w:rPr>
        <w:t>Galbraith v. Marin et al</w:t>
      </w:r>
      <w:r w:rsidRPr="00E91655">
        <w:rPr>
          <w:rFonts w:ascii="Arial" w:eastAsiaTheme="minorEastAsia" w:hAnsi="Arial" w:cs="Arial"/>
          <w:color w:val="000000"/>
        </w:rPr>
        <w:t xml:space="preserve">, 2004 BCSC 671, and </w:t>
      </w:r>
      <w:r w:rsidRPr="00E91655">
        <w:rPr>
          <w:rFonts w:ascii="Arial" w:eastAsiaTheme="minorEastAsia" w:hAnsi="Arial" w:cs="Arial"/>
          <w:i/>
          <w:color w:val="000000"/>
        </w:rPr>
        <w:t xml:space="preserve">Fata v. </w:t>
      </w:r>
      <w:proofErr w:type="spellStart"/>
      <w:r w:rsidRPr="00E91655">
        <w:rPr>
          <w:rFonts w:ascii="Arial" w:eastAsiaTheme="minorEastAsia" w:hAnsi="Arial" w:cs="Arial"/>
          <w:i/>
          <w:color w:val="000000"/>
        </w:rPr>
        <w:t>Heinonen</w:t>
      </w:r>
      <w:proofErr w:type="spellEnd"/>
      <w:r w:rsidRPr="00E91655">
        <w:rPr>
          <w:rFonts w:ascii="Arial" w:eastAsiaTheme="minorEastAsia" w:hAnsi="Arial" w:cs="Arial"/>
          <w:i/>
          <w:color w:val="000000"/>
        </w:rPr>
        <w:t xml:space="preserve">, </w:t>
      </w:r>
      <w:r w:rsidRPr="00E91655">
        <w:rPr>
          <w:rFonts w:ascii="Arial" w:eastAsiaTheme="minorEastAsia" w:hAnsi="Arial" w:cs="Arial"/>
          <w:color w:val="000000"/>
        </w:rPr>
        <w:t>2010 BCSC 385, at para. 88):</w:t>
      </w:r>
      <w:r w:rsidRPr="00E91655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</w:p>
    <w:p w:rsidR="00E91655" w:rsidRPr="00E91655" w:rsidRDefault="00E91655" w:rsidP="00E91655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  <w:r w:rsidRPr="00E91655">
        <w:rPr>
          <w:rFonts w:ascii="Arial" w:eastAsiaTheme="minorEastAsia" w:hAnsi="Arial" w:cs="Arial"/>
          <w:color w:val="000000"/>
        </w:rPr>
        <w:t>Athletes (</w:t>
      </w:r>
      <w:r w:rsidRPr="00E91655">
        <w:rPr>
          <w:rFonts w:ascii="Arial" w:eastAsiaTheme="minorEastAsia" w:hAnsi="Arial" w:cs="Arial"/>
          <w:i/>
          <w:color w:val="000000"/>
        </w:rPr>
        <w:t xml:space="preserve">Morrow v. </w:t>
      </w:r>
      <w:proofErr w:type="spellStart"/>
      <w:r w:rsidRPr="00E91655">
        <w:rPr>
          <w:rFonts w:ascii="Arial" w:eastAsiaTheme="minorEastAsia" w:hAnsi="Arial" w:cs="Arial"/>
          <w:i/>
          <w:color w:val="000000"/>
        </w:rPr>
        <w:t>Outerbridge</w:t>
      </w:r>
      <w:proofErr w:type="spellEnd"/>
      <w:r w:rsidRPr="00E91655">
        <w:rPr>
          <w:rFonts w:ascii="Arial" w:eastAsiaTheme="minorEastAsia" w:hAnsi="Arial" w:cs="Arial"/>
          <w:color w:val="000000"/>
        </w:rPr>
        <w:t>, 2009 BCSC 433;</w:t>
      </w:r>
      <w:r w:rsidRPr="00E91655">
        <w:rPr>
          <w:rFonts w:ascii="Arial" w:eastAsiaTheme="minorEastAsia" w:hAnsi="Arial" w:cs="Arial"/>
          <w:b/>
          <w:color w:val="000000"/>
        </w:rPr>
        <w:t xml:space="preserve"> </w:t>
      </w:r>
      <w:proofErr w:type="spellStart"/>
      <w:r w:rsidRPr="00E91655">
        <w:rPr>
          <w:rFonts w:ascii="Arial" w:eastAsiaTheme="minorEastAsia" w:hAnsi="Arial" w:cs="Arial"/>
          <w:i/>
          <w:color w:val="000000"/>
        </w:rPr>
        <w:t>Hagreen</w:t>
      </w:r>
      <w:proofErr w:type="spellEnd"/>
      <w:r w:rsidRPr="00E91655">
        <w:rPr>
          <w:rFonts w:ascii="Arial" w:eastAsiaTheme="minorEastAsia" w:hAnsi="Arial" w:cs="Arial"/>
          <w:i/>
          <w:color w:val="000000"/>
        </w:rPr>
        <w:t xml:space="preserve"> v. Su,</w:t>
      </w:r>
      <w:r w:rsidRPr="00E91655">
        <w:rPr>
          <w:rFonts w:ascii="Arial" w:eastAsiaTheme="minorEastAsia" w:hAnsi="Arial" w:cs="Arial"/>
          <w:color w:val="000000"/>
        </w:rPr>
        <w:t xml:space="preserve"> 2009 BCSC 1455); </w:t>
      </w:r>
    </w:p>
    <w:p w:rsidR="00E91655" w:rsidRPr="00E91655" w:rsidRDefault="00E91655" w:rsidP="00E91655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  <w:r w:rsidRPr="00E91655">
        <w:rPr>
          <w:rFonts w:ascii="Arial" w:eastAsiaTheme="minorEastAsia" w:hAnsi="Arial" w:cs="Arial"/>
          <w:color w:val="000000"/>
        </w:rPr>
        <w:t>Previously disabled plaintiffs (</w:t>
      </w:r>
      <w:r w:rsidRPr="00E91655">
        <w:rPr>
          <w:rFonts w:ascii="Arial" w:eastAsiaTheme="minorEastAsia" w:hAnsi="Arial" w:cs="Arial"/>
          <w:i/>
          <w:color w:val="000000"/>
        </w:rPr>
        <w:t>Agar v. Morgan</w:t>
      </w:r>
      <w:r w:rsidRPr="00E91655">
        <w:rPr>
          <w:rFonts w:ascii="Arial" w:eastAsiaTheme="minorEastAsia" w:hAnsi="Arial" w:cs="Arial"/>
          <w:color w:val="000000"/>
        </w:rPr>
        <w:t xml:space="preserve">, 2005 BCCA 579); and </w:t>
      </w:r>
    </w:p>
    <w:p w:rsidR="00E91655" w:rsidRPr="00E91655" w:rsidRDefault="00E91655" w:rsidP="00E916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</w:p>
    <w:p w:rsidR="00E91655" w:rsidRPr="00E91655" w:rsidRDefault="00E91655" w:rsidP="00E91655">
      <w:pPr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360"/>
        <w:jc w:val="both"/>
        <w:rPr>
          <w:rFonts w:ascii="Arial" w:eastAsiaTheme="minorEastAsia" w:hAnsi="Arial" w:cs="Arial"/>
          <w:color w:val="000000"/>
        </w:rPr>
      </w:pPr>
      <w:r w:rsidRPr="00E91655">
        <w:rPr>
          <w:rFonts w:ascii="Arial" w:eastAsiaTheme="minorEastAsia" w:hAnsi="Arial" w:cs="Arial"/>
          <w:color w:val="000000"/>
        </w:rPr>
        <w:t>“Rough upper limit” or “cap” for non-pecuniary damages: Catastrophic injuries and the Supreme Court of Canada Trilogy (</w:t>
      </w:r>
      <w:r w:rsidRPr="00E91655">
        <w:rPr>
          <w:rFonts w:ascii="Arial" w:eastAsiaTheme="minorEastAsia" w:hAnsi="Arial" w:cs="Arial"/>
          <w:bCs/>
          <w:i/>
          <w:color w:val="000000"/>
        </w:rPr>
        <w:t>Andrews v. Grand &amp; Toy Alberta Ltd</w:t>
      </w:r>
      <w:r w:rsidRPr="00E91655">
        <w:rPr>
          <w:rFonts w:ascii="Arial" w:eastAsiaTheme="minorEastAsia" w:hAnsi="Arial" w:cs="Arial"/>
          <w:bCs/>
          <w:color w:val="000000"/>
        </w:rPr>
        <w:t xml:space="preserve">., [1978] 2 S.C.R. 229; </w:t>
      </w:r>
      <w:r w:rsidRPr="00E91655">
        <w:rPr>
          <w:rFonts w:ascii="Arial" w:eastAsiaTheme="minorEastAsia" w:hAnsi="Arial" w:cs="Arial"/>
          <w:bCs/>
          <w:i/>
          <w:color w:val="000000"/>
        </w:rPr>
        <w:t>Thornton v. School District No. 57 (Prince George</w:t>
      </w:r>
      <w:r w:rsidRPr="00E91655">
        <w:rPr>
          <w:rFonts w:ascii="Arial" w:eastAsiaTheme="minorEastAsia" w:hAnsi="Arial" w:cs="Arial"/>
          <w:bCs/>
          <w:color w:val="000000"/>
        </w:rPr>
        <w:t xml:space="preserve">), [1978] 2 S.C.R. 267; </w:t>
      </w:r>
      <w:proofErr w:type="spellStart"/>
      <w:r w:rsidRPr="00E91655">
        <w:rPr>
          <w:rFonts w:ascii="Arial" w:eastAsiaTheme="minorEastAsia" w:hAnsi="Arial" w:cs="Arial"/>
          <w:bCs/>
          <w:i/>
          <w:color w:val="000000"/>
        </w:rPr>
        <w:t>Teno</w:t>
      </w:r>
      <w:proofErr w:type="spellEnd"/>
      <w:r w:rsidRPr="00E91655">
        <w:rPr>
          <w:rFonts w:ascii="Arial" w:eastAsiaTheme="minorEastAsia" w:hAnsi="Arial" w:cs="Arial"/>
          <w:bCs/>
          <w:i/>
          <w:color w:val="000000"/>
        </w:rPr>
        <w:t xml:space="preserve"> v Arnold</w:t>
      </w:r>
      <w:r w:rsidRPr="00E91655">
        <w:rPr>
          <w:rFonts w:ascii="Arial" w:eastAsiaTheme="minorEastAsia" w:hAnsi="Arial" w:cs="Arial"/>
          <w:bCs/>
          <w:color w:val="000000"/>
        </w:rPr>
        <w:t>, [1978] 2 S.C.R. 287) (collectively, “the Trilogy”).</w:t>
      </w:r>
      <w:r w:rsidRPr="00E91655">
        <w:rPr>
          <w:rFonts w:ascii="Arial" w:eastAsiaTheme="minorEastAsia" w:hAnsi="Arial" w:cs="Arial"/>
          <w:color w:val="000000"/>
        </w:rPr>
        <w:t xml:space="preserve">  </w:t>
      </w:r>
    </w:p>
    <w:p w:rsidR="00E91655" w:rsidRPr="00E91655" w:rsidRDefault="00E91655" w:rsidP="00E91655">
      <w:pPr>
        <w:numPr>
          <w:ilvl w:val="1"/>
          <w:numId w:val="11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eastAsiaTheme="minorEastAsia" w:hAnsi="Arial" w:cs="Arial"/>
          <w:b/>
          <w:bCs/>
          <w:color w:val="000000"/>
        </w:rPr>
      </w:pPr>
      <w:r w:rsidRPr="00E91655">
        <w:rPr>
          <w:rFonts w:ascii="Arial" w:eastAsiaTheme="minorEastAsia" w:hAnsi="Arial" w:cs="Arial"/>
          <w:b/>
          <w:bCs/>
          <w:color w:val="000000"/>
        </w:rPr>
        <w:t xml:space="preserve">See also </w:t>
      </w:r>
      <w:proofErr w:type="spellStart"/>
      <w:r w:rsidRPr="00E91655">
        <w:rPr>
          <w:rFonts w:ascii="Arial" w:eastAsiaTheme="minorEastAsia" w:hAnsi="Arial" w:cs="Arial"/>
          <w:b/>
          <w:bCs/>
          <w:i/>
          <w:iCs/>
          <w:color w:val="000000"/>
        </w:rPr>
        <w:t>Uy</w:t>
      </w:r>
      <w:proofErr w:type="spellEnd"/>
      <w:r w:rsidRPr="00E91655">
        <w:rPr>
          <w:rFonts w:ascii="Arial" w:eastAsiaTheme="minorEastAsia" w:hAnsi="Arial" w:cs="Arial"/>
          <w:b/>
          <w:bCs/>
          <w:i/>
          <w:iCs/>
          <w:color w:val="000000"/>
        </w:rPr>
        <w:t xml:space="preserve"> v. Dhillon, </w:t>
      </w:r>
      <w:hyperlink r:id="rId11" w:history="1">
        <w:r w:rsidRPr="00E91655">
          <w:rPr>
            <w:rFonts w:ascii="Arial" w:eastAsiaTheme="minorEastAsia" w:hAnsi="Arial" w:cs="Arial"/>
            <w:b/>
            <w:bCs/>
            <w:i/>
            <w:iCs/>
            <w:color w:val="0000FF"/>
            <w:u w:val="single"/>
          </w:rPr>
          <w:t xml:space="preserve">2020 BCSC 1302 </w:t>
        </w:r>
      </w:hyperlink>
      <w:r w:rsidRPr="00E91655">
        <w:rPr>
          <w:rFonts w:ascii="Arial" w:eastAsiaTheme="minorEastAsia" w:hAnsi="Arial" w:cs="Arial"/>
          <w:b/>
          <w:bCs/>
          <w:i/>
          <w:iCs/>
          <w:color w:val="000000"/>
        </w:rPr>
        <w:t xml:space="preserve"> </w:t>
      </w:r>
    </w:p>
    <w:p w:rsidR="00E91655" w:rsidRPr="00E91655" w:rsidRDefault="00E91655" w:rsidP="00E9165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EastAsia" w:hAnsi="Arial" w:cs="Arial"/>
          <w:bCs/>
          <w:color w:val="000000"/>
        </w:rPr>
      </w:pPr>
      <w:r w:rsidRPr="00E91655">
        <w:rPr>
          <w:rFonts w:ascii="Arial" w:eastAsiaTheme="minorEastAsia" w:hAnsi="Arial" w:cs="Arial"/>
          <w:color w:val="000000"/>
        </w:rPr>
        <w:t>Sexual abuse (</w:t>
      </w:r>
      <w:r w:rsidRPr="00E91655">
        <w:rPr>
          <w:rFonts w:ascii="Arial" w:eastAsiaTheme="minorEastAsia" w:hAnsi="Arial" w:cs="Arial"/>
          <w:i/>
          <w:color w:val="000000"/>
        </w:rPr>
        <w:t>S.Y. v. F.G.C.</w:t>
      </w:r>
      <w:r w:rsidRPr="00E91655">
        <w:rPr>
          <w:rFonts w:ascii="Arial" w:eastAsiaTheme="minorEastAsia" w:hAnsi="Arial" w:cs="Arial"/>
          <w:color w:val="000000"/>
        </w:rPr>
        <w:t xml:space="preserve"> [1997] 1 WWR 229 BCCA); </w:t>
      </w:r>
      <w:r w:rsidRPr="00E91655">
        <w:rPr>
          <w:rFonts w:ascii="Arial" w:eastAsiaTheme="minorEastAsia" w:hAnsi="Arial" w:cs="Arial"/>
          <w:bCs/>
          <w:i/>
          <w:color w:val="000000"/>
        </w:rPr>
        <w:t xml:space="preserve">Water v. Bains, </w:t>
      </w:r>
      <w:r w:rsidRPr="00E91655">
        <w:rPr>
          <w:rFonts w:ascii="Arial" w:eastAsiaTheme="minorEastAsia" w:hAnsi="Arial" w:cs="Arial"/>
          <w:bCs/>
          <w:color w:val="000000"/>
          <w:sz w:val="24"/>
          <w:szCs w:val="24"/>
          <w:shd w:val="clear" w:color="auto" w:fill="FFFFFF"/>
        </w:rPr>
        <w:t xml:space="preserve">2008 BCSC 823; </w:t>
      </w:r>
      <w:r w:rsidRPr="00E91655">
        <w:rPr>
          <w:rFonts w:ascii="Arial" w:eastAsiaTheme="minorEastAsia" w:hAnsi="Arial" w:cs="Arial"/>
          <w:b/>
          <w:bCs/>
          <w:i/>
          <w:iCs/>
          <w:color w:val="000000"/>
        </w:rPr>
        <w:t xml:space="preserve">Anderson v. </w:t>
      </w:r>
      <w:proofErr w:type="spellStart"/>
      <w:r w:rsidRPr="00E91655">
        <w:rPr>
          <w:rFonts w:ascii="Arial" w:eastAsiaTheme="minorEastAsia" w:hAnsi="Arial" w:cs="Arial"/>
          <w:b/>
          <w:bCs/>
          <w:i/>
          <w:iCs/>
          <w:color w:val="000000"/>
        </w:rPr>
        <w:t>Molon</w:t>
      </w:r>
      <w:proofErr w:type="spellEnd"/>
      <w:r w:rsidRPr="00E91655">
        <w:rPr>
          <w:rFonts w:ascii="Arial" w:eastAsiaTheme="minorEastAsia" w:hAnsi="Arial" w:cs="Arial"/>
          <w:b/>
          <w:bCs/>
          <w:i/>
          <w:iCs/>
          <w:color w:val="000000"/>
        </w:rPr>
        <w:t xml:space="preserve">, </w:t>
      </w:r>
      <w:hyperlink r:id="rId12" w:history="1">
        <w:r w:rsidRPr="00E91655">
          <w:rPr>
            <w:rFonts w:ascii="Arial" w:eastAsiaTheme="minorEastAsia" w:hAnsi="Arial" w:cs="Arial"/>
            <w:b/>
            <w:bCs/>
            <w:color w:val="0000FF"/>
            <w:u w:val="single"/>
          </w:rPr>
          <w:t>2020 BCSC 1247</w:t>
        </w:r>
      </w:hyperlink>
    </w:p>
    <w:p w:rsidR="00E91655" w:rsidRPr="00E91655" w:rsidRDefault="00E91655" w:rsidP="00E916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EastAsia" w:hAnsi="Arial" w:cs="Arial"/>
          <w:color w:val="000000"/>
        </w:rPr>
      </w:pPr>
    </w:p>
    <w:p w:rsidR="00E91655" w:rsidRPr="00E91655" w:rsidRDefault="00E91655" w:rsidP="00E9165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  <w:r w:rsidRPr="00E91655">
        <w:rPr>
          <w:rFonts w:ascii="Arial" w:eastAsiaTheme="minorEastAsia" w:hAnsi="Arial" w:cs="Arial"/>
          <w:color w:val="000000"/>
        </w:rPr>
        <w:t xml:space="preserve">Aggravated and punitive damages - </w:t>
      </w:r>
      <w:r w:rsidRPr="00E91655">
        <w:rPr>
          <w:rFonts w:ascii="Arial" w:eastAsiaTheme="minorEastAsia" w:hAnsi="Arial" w:cs="Arial"/>
          <w:bCs/>
          <w:i/>
          <w:color w:val="000000"/>
        </w:rPr>
        <w:t>Whiten v. Pilot Insurance Company</w:t>
      </w:r>
      <w:r w:rsidRPr="00E91655">
        <w:rPr>
          <w:rFonts w:ascii="Arial" w:eastAsiaTheme="minorEastAsia" w:hAnsi="Arial" w:cs="Arial"/>
          <w:bCs/>
          <w:color w:val="000000"/>
        </w:rPr>
        <w:t xml:space="preserve">, 2002 SCC 18; </w:t>
      </w:r>
      <w:r w:rsidRPr="00E91655">
        <w:rPr>
          <w:rFonts w:ascii="Arial" w:eastAsiaTheme="minorEastAsia" w:hAnsi="Arial" w:cs="Arial"/>
          <w:bCs/>
          <w:i/>
          <w:iCs/>
          <w:color w:val="000000"/>
        </w:rPr>
        <w:t>Macleod v. Marshall et al</w:t>
      </w:r>
      <w:r w:rsidRPr="00E91655">
        <w:rPr>
          <w:rFonts w:ascii="Arial" w:eastAsiaTheme="minorEastAsia" w:hAnsi="Arial" w:cs="Arial"/>
          <w:bCs/>
          <w:color w:val="000000"/>
        </w:rPr>
        <w:t xml:space="preserve">., </w:t>
      </w:r>
      <w:r w:rsidRPr="00E91655">
        <w:rPr>
          <w:rFonts w:ascii="Arial" w:eastAsiaTheme="minorEastAsia" w:hAnsi="Arial" w:cs="Arial"/>
          <w:bCs/>
          <w:color w:val="000000"/>
          <w:shd w:val="clear" w:color="auto" w:fill="FFFFFF"/>
        </w:rPr>
        <w:t xml:space="preserve">2019 ONCA 842; </w:t>
      </w:r>
      <w:r w:rsidRPr="00E91655">
        <w:rPr>
          <w:rFonts w:ascii="Arial" w:eastAsiaTheme="minorEastAsia" w:hAnsi="Arial" w:cs="Arial"/>
          <w:bCs/>
          <w:i/>
          <w:color w:val="000000"/>
        </w:rPr>
        <w:t xml:space="preserve">Howell v. </w:t>
      </w:r>
      <w:proofErr w:type="spellStart"/>
      <w:r w:rsidRPr="00E91655">
        <w:rPr>
          <w:rFonts w:ascii="Arial" w:eastAsiaTheme="minorEastAsia" w:hAnsi="Arial" w:cs="Arial"/>
          <w:bCs/>
          <w:i/>
          <w:color w:val="000000"/>
        </w:rPr>
        <w:t>Machi</w:t>
      </w:r>
      <w:proofErr w:type="spellEnd"/>
      <w:r w:rsidRPr="00E91655">
        <w:rPr>
          <w:rFonts w:ascii="Arial" w:eastAsiaTheme="minorEastAsia" w:hAnsi="Arial" w:cs="Arial"/>
          <w:bCs/>
          <w:i/>
          <w:color w:val="000000"/>
        </w:rPr>
        <w:t xml:space="preserve">, </w:t>
      </w:r>
      <w:r w:rsidRPr="00E91655">
        <w:rPr>
          <w:rFonts w:ascii="Arial" w:eastAsiaTheme="minorEastAsia" w:hAnsi="Arial" w:cs="Arial"/>
          <w:bCs/>
          <w:color w:val="000000"/>
        </w:rPr>
        <w:t>2017 BCSC 1806;</w:t>
      </w:r>
      <w:r w:rsidRPr="00E91655">
        <w:rPr>
          <w:rFonts w:ascii="Arial" w:eastAsiaTheme="minorEastAsia" w:hAnsi="Arial" w:cs="Arial"/>
          <w:b/>
          <w:color w:val="000000"/>
        </w:rPr>
        <w:t xml:space="preserve"> </w:t>
      </w:r>
      <w:r w:rsidRPr="00E91655">
        <w:rPr>
          <w:rFonts w:ascii="Arial" w:eastAsiaTheme="minorEastAsia" w:hAnsi="Arial" w:cs="Arial"/>
          <w:b/>
          <w:bCs/>
          <w:i/>
          <w:iCs/>
          <w:color w:val="000000"/>
        </w:rPr>
        <w:t xml:space="preserve">Anderson v. </w:t>
      </w:r>
      <w:proofErr w:type="spellStart"/>
      <w:r w:rsidRPr="00E91655">
        <w:rPr>
          <w:rFonts w:ascii="Arial" w:eastAsiaTheme="minorEastAsia" w:hAnsi="Arial" w:cs="Arial"/>
          <w:b/>
          <w:bCs/>
          <w:i/>
          <w:iCs/>
          <w:color w:val="000000"/>
        </w:rPr>
        <w:t>Molon</w:t>
      </w:r>
      <w:proofErr w:type="spellEnd"/>
      <w:r w:rsidRPr="00E91655">
        <w:rPr>
          <w:rFonts w:ascii="Arial" w:eastAsiaTheme="minorEastAsia" w:hAnsi="Arial" w:cs="Arial"/>
          <w:b/>
          <w:bCs/>
          <w:i/>
          <w:iCs/>
          <w:color w:val="000000"/>
        </w:rPr>
        <w:t xml:space="preserve">, </w:t>
      </w:r>
      <w:hyperlink r:id="rId13" w:history="1">
        <w:r w:rsidRPr="00E91655">
          <w:rPr>
            <w:rFonts w:ascii="Arial" w:eastAsiaTheme="minorEastAsia" w:hAnsi="Arial" w:cs="Arial"/>
            <w:b/>
            <w:bCs/>
            <w:color w:val="0000FF"/>
            <w:u w:val="single"/>
          </w:rPr>
          <w:t>2020 BCSC 1247</w:t>
        </w:r>
      </w:hyperlink>
      <w:r w:rsidRPr="00E91655">
        <w:rPr>
          <w:rFonts w:ascii="Arial" w:eastAsiaTheme="minorEastAsia" w:hAnsi="Arial" w:cs="Arial"/>
          <w:color w:val="000000"/>
        </w:rPr>
        <w:t xml:space="preserve"> </w:t>
      </w:r>
    </w:p>
    <w:p w:rsidR="00E91655" w:rsidRPr="00E91655" w:rsidRDefault="00E91655" w:rsidP="00E916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EastAsia" w:hAnsi="Arial" w:cs="Arial"/>
          <w:color w:val="000000"/>
        </w:rPr>
      </w:pPr>
    </w:p>
    <w:p w:rsidR="00E91655" w:rsidRPr="00E91655" w:rsidRDefault="00E91655" w:rsidP="00E9165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  <w:r w:rsidRPr="00E91655">
        <w:rPr>
          <w:rFonts w:ascii="Arial" w:eastAsiaTheme="minorEastAsia" w:hAnsi="Arial" w:cs="Arial"/>
          <w:color w:val="000000"/>
        </w:rPr>
        <w:t xml:space="preserve">The “Minor Injury Cap” – a limit on non-pecuniary damages for specific injuries arising from motor vehicle accidents: </w:t>
      </w:r>
      <w:hyperlink r:id="rId14" w:history="1">
        <w:r w:rsidRPr="00E91655">
          <w:rPr>
            <w:rFonts w:ascii="Arial" w:eastAsiaTheme="minorEastAsia" w:hAnsi="Arial" w:cs="Arial"/>
            <w:color w:val="0000FF"/>
            <w:szCs w:val="24"/>
            <w:u w:val="single"/>
          </w:rPr>
          <w:t>https://www.icbc.com/claims/injury/Pages/Minor-injuries.aspx</w:t>
        </w:r>
      </w:hyperlink>
    </w:p>
    <w:p w:rsidR="00E91655" w:rsidRPr="00E91655" w:rsidRDefault="00E91655" w:rsidP="00E91655">
      <w:pPr>
        <w:tabs>
          <w:tab w:val="left" w:pos="342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val="en-CA"/>
        </w:rPr>
      </w:pPr>
    </w:p>
    <w:p w:rsidR="00E91655" w:rsidRPr="00E91655" w:rsidRDefault="00E91655" w:rsidP="00E91655">
      <w:pPr>
        <w:keepNext/>
        <w:keepLines/>
        <w:widowControl w:val="0"/>
        <w:autoSpaceDE w:val="0"/>
        <w:autoSpaceDN w:val="0"/>
        <w:adjustRightInd w:val="0"/>
        <w:spacing w:before="29" w:after="240" w:line="271" w:lineRule="exact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W</w:t>
      </w:r>
      <w:r w:rsidRPr="00E91655">
        <w:rPr>
          <w:rFonts w:ascii="Arial" w:eastAsiaTheme="minorEastAsia" w:hAnsi="Arial" w:cs="Arial"/>
          <w:b/>
          <w:bCs/>
          <w:spacing w:val="-1"/>
          <w:position w:val="-1"/>
          <w:sz w:val="24"/>
          <w:szCs w:val="24"/>
          <w:lang w:val="en-CA"/>
        </w:rPr>
        <w:t>EE</w:t>
      </w:r>
      <w:r w:rsidRPr="00E91655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K</w:t>
      </w:r>
      <w:r w:rsidRPr="00E91655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 xml:space="preserve"> 5: FEBRUARY 8, 2021</w:t>
      </w: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 - </w:t>
      </w:r>
      <w:r w:rsidRPr="00E91655">
        <w:rPr>
          <w:rFonts w:ascii="Arial" w:eastAsiaTheme="minorEastAsia" w:hAnsi="Arial" w:cs="Arial"/>
          <w:b/>
          <w:bCs/>
          <w:spacing w:val="-3"/>
          <w:sz w:val="24"/>
          <w:szCs w:val="24"/>
          <w:lang w:val="en-CA"/>
        </w:rPr>
        <w:t>P</w:t>
      </w:r>
      <w:r w:rsidRPr="00E91655">
        <w:rPr>
          <w:rFonts w:ascii="Arial" w:eastAsiaTheme="minorEastAsia" w:hAnsi="Arial" w:cs="Arial"/>
          <w:b/>
          <w:bCs/>
          <w:spacing w:val="1"/>
          <w:sz w:val="24"/>
          <w:szCs w:val="24"/>
          <w:lang w:val="en-CA"/>
        </w:rPr>
        <w:t>e</w:t>
      </w:r>
      <w:r w:rsidRPr="00E91655">
        <w:rPr>
          <w:rFonts w:ascii="Arial" w:eastAsiaTheme="minorEastAsia" w:hAnsi="Arial" w:cs="Arial"/>
          <w:b/>
          <w:bCs/>
          <w:spacing w:val="-1"/>
          <w:sz w:val="24"/>
          <w:szCs w:val="24"/>
          <w:lang w:val="en-CA"/>
        </w:rPr>
        <w:t>c</w:t>
      </w:r>
      <w:r w:rsidRPr="00E91655">
        <w:rPr>
          <w:rFonts w:ascii="Arial" w:eastAsiaTheme="minorEastAsia" w:hAnsi="Arial" w:cs="Arial"/>
          <w:b/>
          <w:bCs/>
          <w:spacing w:val="1"/>
          <w:sz w:val="24"/>
          <w:szCs w:val="24"/>
          <w:lang w:val="en-CA"/>
        </w:rPr>
        <w:t>un</w:t>
      </w:r>
      <w:r w:rsidRPr="00E91655">
        <w:rPr>
          <w:rFonts w:ascii="Arial" w:eastAsiaTheme="minorEastAsia" w:hAnsi="Arial" w:cs="Arial"/>
          <w:b/>
          <w:bCs/>
          <w:sz w:val="24"/>
          <w:szCs w:val="24"/>
          <w:lang w:val="en-CA"/>
        </w:rPr>
        <w:t>iary da</w:t>
      </w:r>
      <w:r w:rsidRPr="00E91655">
        <w:rPr>
          <w:rFonts w:ascii="Arial" w:eastAsiaTheme="minorEastAsia" w:hAnsi="Arial" w:cs="Arial"/>
          <w:b/>
          <w:bCs/>
          <w:spacing w:val="-3"/>
          <w:sz w:val="24"/>
          <w:szCs w:val="24"/>
          <w:lang w:val="en-CA"/>
        </w:rPr>
        <w:t>m</w:t>
      </w:r>
      <w:r w:rsidRPr="00E91655">
        <w:rPr>
          <w:rFonts w:ascii="Arial" w:eastAsiaTheme="minorEastAsia" w:hAnsi="Arial" w:cs="Arial"/>
          <w:b/>
          <w:bCs/>
          <w:sz w:val="24"/>
          <w:szCs w:val="24"/>
          <w:lang w:val="en-CA"/>
        </w:rPr>
        <w:t>a</w:t>
      </w:r>
      <w:r w:rsidRPr="00E91655">
        <w:rPr>
          <w:rFonts w:ascii="Arial" w:eastAsiaTheme="minorEastAsia" w:hAnsi="Arial" w:cs="Arial"/>
          <w:b/>
          <w:bCs/>
          <w:spacing w:val="2"/>
          <w:sz w:val="24"/>
          <w:szCs w:val="24"/>
          <w:lang w:val="en-CA"/>
        </w:rPr>
        <w:t>g</w:t>
      </w:r>
      <w:r w:rsidRPr="00E91655">
        <w:rPr>
          <w:rFonts w:ascii="Arial" w:eastAsiaTheme="minorEastAsia" w:hAnsi="Arial" w:cs="Arial"/>
          <w:b/>
          <w:bCs/>
          <w:spacing w:val="-1"/>
          <w:sz w:val="24"/>
          <w:szCs w:val="24"/>
          <w:lang w:val="en-CA"/>
        </w:rPr>
        <w:t>e</w:t>
      </w:r>
      <w:r w:rsidRPr="00E91655">
        <w:rPr>
          <w:rFonts w:ascii="Arial" w:eastAsiaTheme="minorEastAsia" w:hAnsi="Arial" w:cs="Arial"/>
          <w:b/>
          <w:bCs/>
          <w:sz w:val="24"/>
          <w:szCs w:val="24"/>
          <w:lang w:val="en-CA"/>
        </w:rPr>
        <w:t>s</w:t>
      </w:r>
    </w:p>
    <w:p w:rsidR="00E91655" w:rsidRPr="00E91655" w:rsidRDefault="00E91655" w:rsidP="00E91655">
      <w:pPr>
        <w:numPr>
          <w:ilvl w:val="0"/>
          <w:numId w:val="14"/>
        </w:num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0"/>
          <w:lang w:val="en-CA"/>
        </w:rPr>
      </w:pPr>
      <w:r w:rsidRPr="00E91655">
        <w:rPr>
          <w:rFonts w:ascii="Arial" w:eastAsiaTheme="minorEastAsia" w:hAnsi="Arial" w:cs="Arial"/>
          <w:sz w:val="24"/>
          <w:szCs w:val="20"/>
          <w:lang w:val="en-CA"/>
        </w:rPr>
        <w:t xml:space="preserve">Overview of pecuniary damages: </w:t>
      </w:r>
    </w:p>
    <w:p w:rsidR="00E91655" w:rsidRPr="00E91655" w:rsidRDefault="00E91655" w:rsidP="00E91655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0"/>
          <w:lang w:val="en-CA"/>
        </w:rPr>
      </w:pPr>
      <w:r w:rsidRPr="00E91655">
        <w:rPr>
          <w:rFonts w:ascii="Arial" w:eastAsiaTheme="minorEastAsia" w:hAnsi="Arial" w:cs="Arial"/>
          <w:sz w:val="24"/>
          <w:szCs w:val="20"/>
          <w:lang w:val="en-CA"/>
        </w:rPr>
        <w:t xml:space="preserve">Wage loss (past and prospective); and </w:t>
      </w:r>
    </w:p>
    <w:p w:rsidR="00E91655" w:rsidRPr="00E91655" w:rsidRDefault="00E91655" w:rsidP="00E91655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0"/>
          <w:lang w:val="en-CA"/>
        </w:rPr>
      </w:pPr>
      <w:r w:rsidRPr="00E91655">
        <w:rPr>
          <w:rFonts w:ascii="Arial" w:eastAsiaTheme="minorEastAsia" w:hAnsi="Arial" w:cs="Arial"/>
          <w:sz w:val="24"/>
          <w:szCs w:val="20"/>
          <w:lang w:val="en-CA"/>
        </w:rPr>
        <w:t>Expenses (past and prospective).</w:t>
      </w:r>
    </w:p>
    <w:p w:rsidR="00E91655" w:rsidRPr="00E91655" w:rsidRDefault="00E91655" w:rsidP="00E91655">
      <w:p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color w:val="FF0000"/>
          <w:sz w:val="24"/>
          <w:szCs w:val="20"/>
          <w:lang w:val="en-CA"/>
        </w:rPr>
      </w:pPr>
    </w:p>
    <w:p w:rsidR="00E91655" w:rsidRPr="00E91655" w:rsidRDefault="00E91655" w:rsidP="00E91655">
      <w:pPr>
        <w:numPr>
          <w:ilvl w:val="0"/>
          <w:numId w:val="14"/>
        </w:num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0"/>
          <w:lang w:val="en-CA"/>
        </w:rPr>
      </w:pPr>
      <w:proofErr w:type="spellStart"/>
      <w:r w:rsidRPr="00E91655">
        <w:rPr>
          <w:rFonts w:ascii="Arial" w:eastAsiaTheme="minorEastAsia" w:hAnsi="Arial" w:cs="Arial"/>
          <w:i/>
          <w:sz w:val="24"/>
          <w:szCs w:val="20"/>
          <w:lang w:val="en-CA"/>
        </w:rPr>
        <w:t>Restitutio</w:t>
      </w:r>
      <w:proofErr w:type="spellEnd"/>
      <w:r w:rsidRPr="00E91655">
        <w:rPr>
          <w:rFonts w:ascii="Arial" w:eastAsiaTheme="minorEastAsia" w:hAnsi="Arial" w:cs="Arial"/>
          <w:i/>
          <w:sz w:val="24"/>
          <w:szCs w:val="20"/>
          <w:lang w:val="en-CA"/>
        </w:rPr>
        <w:t xml:space="preserve"> in </w:t>
      </w:r>
      <w:proofErr w:type="spellStart"/>
      <w:r w:rsidRPr="00E91655">
        <w:rPr>
          <w:rFonts w:ascii="Arial" w:eastAsiaTheme="minorEastAsia" w:hAnsi="Arial" w:cs="Arial"/>
          <w:i/>
          <w:sz w:val="24"/>
          <w:szCs w:val="20"/>
          <w:lang w:val="en-CA"/>
        </w:rPr>
        <w:t>integrum</w:t>
      </w:r>
      <w:proofErr w:type="spellEnd"/>
      <w:r w:rsidRPr="00E91655">
        <w:rPr>
          <w:rFonts w:ascii="Arial" w:eastAsiaTheme="minorEastAsia" w:hAnsi="Arial" w:cs="Arial"/>
          <w:sz w:val="24"/>
          <w:szCs w:val="20"/>
          <w:lang w:val="en-CA"/>
        </w:rPr>
        <w:t xml:space="preserve"> – a principled approach to full compensation, from the SCC </w:t>
      </w:r>
      <w:proofErr w:type="spellStart"/>
      <w:r w:rsidRPr="00E91655">
        <w:rPr>
          <w:rFonts w:ascii="Arial" w:eastAsiaTheme="minorEastAsia" w:hAnsi="Arial" w:cs="Arial"/>
          <w:sz w:val="24"/>
          <w:szCs w:val="20"/>
          <w:lang w:val="en-CA"/>
        </w:rPr>
        <w:t>Triology</w:t>
      </w:r>
      <w:proofErr w:type="spellEnd"/>
      <w:r w:rsidRPr="00E91655">
        <w:rPr>
          <w:rFonts w:ascii="Arial" w:eastAsiaTheme="minorEastAsia" w:hAnsi="Arial" w:cs="Arial"/>
          <w:sz w:val="24"/>
          <w:szCs w:val="20"/>
          <w:lang w:val="en-CA"/>
        </w:rPr>
        <w:t>.</w:t>
      </w:r>
    </w:p>
    <w:p w:rsidR="00E91655" w:rsidRPr="00E91655" w:rsidRDefault="00E91655" w:rsidP="00E9165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0"/>
          <w:lang w:val="en-CA"/>
        </w:rPr>
      </w:pPr>
    </w:p>
    <w:p w:rsidR="00E91655" w:rsidRPr="00E91655" w:rsidRDefault="00E91655" w:rsidP="00E91655">
      <w:pPr>
        <w:numPr>
          <w:ilvl w:val="0"/>
          <w:numId w:val="14"/>
        </w:num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0"/>
          <w:lang w:val="en-CA"/>
        </w:rPr>
      </w:pPr>
      <w:r w:rsidRPr="00E91655">
        <w:rPr>
          <w:rFonts w:ascii="Arial" w:eastAsiaTheme="minorEastAsia" w:hAnsi="Arial" w:cs="Arial"/>
          <w:sz w:val="24"/>
          <w:szCs w:val="20"/>
          <w:lang w:val="en-CA"/>
        </w:rPr>
        <w:t xml:space="preserve">Past wage loss and future lost earning capacity – </w:t>
      </w:r>
      <w:proofErr w:type="spellStart"/>
      <w:r w:rsidRPr="00E91655">
        <w:rPr>
          <w:rFonts w:ascii="Arial" w:eastAsiaTheme="minorEastAsia" w:hAnsi="Arial" w:cs="Arial"/>
          <w:i/>
          <w:sz w:val="24"/>
          <w:szCs w:val="20"/>
          <w:lang w:val="en-CA"/>
        </w:rPr>
        <w:t>Athey</w:t>
      </w:r>
      <w:proofErr w:type="spellEnd"/>
      <w:r w:rsidRPr="00E91655">
        <w:rPr>
          <w:rFonts w:ascii="Arial" w:eastAsiaTheme="minorEastAsia" w:hAnsi="Arial" w:cs="Arial"/>
          <w:sz w:val="24"/>
          <w:szCs w:val="20"/>
          <w:lang w:val="en-CA"/>
        </w:rPr>
        <w:t xml:space="preserve"> applied by the BCCA in </w:t>
      </w:r>
      <w:r w:rsidRPr="00E91655">
        <w:rPr>
          <w:rFonts w:ascii="Arial" w:eastAsiaTheme="minorEastAsia" w:hAnsi="Arial" w:cs="Arial"/>
          <w:i/>
          <w:sz w:val="24"/>
          <w:szCs w:val="20"/>
          <w:lang w:val="en-CA"/>
        </w:rPr>
        <w:t xml:space="preserve">Steward v.  </w:t>
      </w:r>
      <w:proofErr w:type="spellStart"/>
      <w:r w:rsidRPr="00E91655">
        <w:rPr>
          <w:rFonts w:ascii="Arial" w:eastAsiaTheme="minorEastAsia" w:hAnsi="Arial" w:cs="Arial"/>
          <w:i/>
          <w:sz w:val="24"/>
          <w:szCs w:val="20"/>
          <w:lang w:val="en-CA"/>
        </w:rPr>
        <w:t>Berezan</w:t>
      </w:r>
      <w:proofErr w:type="spellEnd"/>
      <w:r w:rsidRPr="00E91655">
        <w:rPr>
          <w:rFonts w:ascii="Arial" w:eastAsiaTheme="minorEastAsia" w:hAnsi="Arial" w:cs="Arial"/>
          <w:sz w:val="24"/>
          <w:szCs w:val="20"/>
          <w:lang w:val="en-CA"/>
        </w:rPr>
        <w:t xml:space="preserve">, 2007 BCCA 150 and </w:t>
      </w:r>
      <w:proofErr w:type="spellStart"/>
      <w:r w:rsidRPr="00E91655">
        <w:rPr>
          <w:rFonts w:ascii="Arial" w:eastAsiaTheme="minorEastAsia" w:hAnsi="Arial" w:cs="Arial"/>
          <w:i/>
          <w:sz w:val="24"/>
          <w:szCs w:val="20"/>
          <w:lang w:val="en-CA"/>
        </w:rPr>
        <w:t>Perren</w:t>
      </w:r>
      <w:proofErr w:type="spellEnd"/>
      <w:r w:rsidRPr="00E91655">
        <w:rPr>
          <w:rFonts w:ascii="Arial" w:eastAsiaTheme="minorEastAsia" w:hAnsi="Arial" w:cs="Arial"/>
          <w:i/>
          <w:sz w:val="24"/>
          <w:szCs w:val="20"/>
          <w:lang w:val="en-CA"/>
        </w:rPr>
        <w:t xml:space="preserve"> v. </w:t>
      </w:r>
      <w:proofErr w:type="spellStart"/>
      <w:r w:rsidRPr="00E91655">
        <w:rPr>
          <w:rFonts w:ascii="Arial" w:eastAsiaTheme="minorEastAsia" w:hAnsi="Arial" w:cs="Arial"/>
          <w:i/>
          <w:sz w:val="24"/>
          <w:szCs w:val="20"/>
          <w:lang w:val="en-CA"/>
        </w:rPr>
        <w:t>Lalari</w:t>
      </w:r>
      <w:proofErr w:type="spellEnd"/>
      <w:r w:rsidRPr="00E91655">
        <w:rPr>
          <w:rFonts w:ascii="Arial" w:eastAsiaTheme="minorEastAsia" w:hAnsi="Arial" w:cs="Arial"/>
          <w:sz w:val="24"/>
          <w:szCs w:val="20"/>
          <w:lang w:val="en-CA"/>
        </w:rPr>
        <w:t>, 2010 BCCA 140.</w:t>
      </w:r>
    </w:p>
    <w:p w:rsidR="00E91655" w:rsidRPr="00E91655" w:rsidRDefault="00E91655" w:rsidP="00E91655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0"/>
          <w:lang w:val="en-CA"/>
        </w:rPr>
      </w:pPr>
    </w:p>
    <w:p w:rsidR="00E91655" w:rsidRPr="00E91655" w:rsidRDefault="00E91655" w:rsidP="00E9165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Theme="minorEastAsia" w:hAnsi="Arial" w:cs="Arial"/>
          <w:color w:val="FF0000"/>
          <w:sz w:val="24"/>
          <w:szCs w:val="20"/>
          <w:lang w:val="en-CA"/>
        </w:rPr>
      </w:pPr>
      <w:r w:rsidRPr="00E91655">
        <w:rPr>
          <w:rFonts w:ascii="Arial" w:eastAsiaTheme="minorEastAsia" w:hAnsi="Arial" w:cs="Arial"/>
          <w:sz w:val="24"/>
          <w:szCs w:val="20"/>
          <w:lang w:val="en-CA"/>
        </w:rPr>
        <w:t xml:space="preserve">Case studies: </w:t>
      </w:r>
    </w:p>
    <w:p w:rsidR="00E91655" w:rsidRPr="00E91655" w:rsidRDefault="00E91655" w:rsidP="00E91655">
      <w:pPr>
        <w:spacing w:after="0" w:line="240" w:lineRule="auto"/>
        <w:ind w:left="720"/>
        <w:contextualSpacing/>
        <w:rPr>
          <w:rFonts w:ascii="Arial" w:eastAsiaTheme="minorEastAsia" w:hAnsi="Arial" w:cs="Arial"/>
          <w:i/>
          <w:color w:val="FF0000"/>
          <w:sz w:val="24"/>
          <w:szCs w:val="20"/>
          <w:lang w:val="en-CA"/>
        </w:rPr>
      </w:pPr>
    </w:p>
    <w:p w:rsidR="00E91655" w:rsidRPr="00E91655" w:rsidRDefault="00E91655" w:rsidP="00E91655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Arial" w:eastAsiaTheme="minorEastAsia" w:hAnsi="Arial" w:cs="Arial"/>
          <w:color w:val="FF0000"/>
          <w:sz w:val="24"/>
          <w:szCs w:val="20"/>
          <w:lang w:val="en-CA"/>
        </w:rPr>
      </w:pPr>
      <w:r w:rsidRPr="00E91655">
        <w:rPr>
          <w:rFonts w:ascii="Arial" w:eastAsiaTheme="minorEastAsia" w:hAnsi="Arial" w:cs="Arial"/>
          <w:i/>
          <w:color w:val="FF0000"/>
          <w:sz w:val="24"/>
          <w:szCs w:val="20"/>
          <w:lang w:val="en-CA"/>
        </w:rPr>
        <w:t xml:space="preserve">MacLeod v. Marshall, </w:t>
      </w:r>
      <w:r w:rsidRPr="00E91655">
        <w:rPr>
          <w:rFonts w:ascii="Arial" w:eastAsiaTheme="minorEastAsia" w:hAnsi="Arial" w:cs="Arial"/>
          <w:color w:val="FF0000"/>
          <w:sz w:val="24"/>
          <w:szCs w:val="20"/>
          <w:lang w:val="en-CA"/>
        </w:rPr>
        <w:t>Court File No. CV-13-481825 (Jury Award),</w:t>
      </w:r>
      <w:r w:rsidRPr="00E91655">
        <w:rPr>
          <w:rFonts w:ascii="Arial" w:eastAsiaTheme="minorEastAsia" w:hAnsi="Arial" w:cs="Arial"/>
          <w:color w:val="FF0000"/>
          <w:sz w:val="24"/>
          <w:szCs w:val="20"/>
          <w:shd w:val="clear" w:color="auto" w:fill="FFFFFF"/>
          <w:lang w:val="en-CA"/>
        </w:rPr>
        <w:t xml:space="preserve"> aff’d </w:t>
      </w:r>
      <w:hyperlink r:id="rId15" w:history="1">
        <w:r w:rsidRPr="00E91655">
          <w:rPr>
            <w:rFonts w:ascii="Arial" w:eastAsiaTheme="minorEastAsia" w:hAnsi="Arial" w:cs="Times New Roman"/>
            <w:color w:val="0000FF"/>
            <w:sz w:val="24"/>
            <w:szCs w:val="20"/>
            <w:u w:val="single"/>
            <w:shd w:val="clear" w:color="auto" w:fill="FFFFFF"/>
            <w:lang w:val="en-CA"/>
          </w:rPr>
          <w:t>2019 ONCA 842</w:t>
        </w:r>
      </w:hyperlink>
      <w:r w:rsidRPr="00E91655">
        <w:rPr>
          <w:rFonts w:ascii="Arial" w:eastAsiaTheme="minorEastAsia" w:hAnsi="Arial" w:cs="Arial"/>
          <w:color w:val="FF0000"/>
          <w:sz w:val="24"/>
          <w:szCs w:val="20"/>
          <w:shd w:val="clear" w:color="auto" w:fill="FFFFFF"/>
          <w:lang w:val="en-CA"/>
        </w:rPr>
        <w:t xml:space="preserve"> (leave to appeal to SCC denied)</w:t>
      </w:r>
    </w:p>
    <w:p w:rsidR="00E91655" w:rsidRPr="00E91655" w:rsidRDefault="00E91655" w:rsidP="00E91655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Arial" w:eastAsiaTheme="minorEastAsia" w:hAnsi="Arial" w:cs="Arial"/>
          <w:color w:val="FF0000"/>
          <w:sz w:val="24"/>
          <w:szCs w:val="20"/>
          <w:lang w:val="en-CA"/>
        </w:rPr>
      </w:pPr>
      <w:r w:rsidRPr="00E91655">
        <w:rPr>
          <w:rFonts w:ascii="Arial" w:eastAsiaTheme="minorEastAsia" w:hAnsi="Arial" w:cs="Arial"/>
          <w:i/>
          <w:color w:val="FF0000"/>
          <w:sz w:val="24"/>
          <w:szCs w:val="20"/>
          <w:lang w:val="en-CA"/>
        </w:rPr>
        <w:t xml:space="preserve">Lampkin v. Walls, </w:t>
      </w:r>
      <w:hyperlink r:id="rId16" w:anchor="SCJTITLEBookMark457" w:history="1">
        <w:r w:rsidRPr="00E91655">
          <w:rPr>
            <w:rFonts w:ascii="Arial" w:eastAsiaTheme="minorEastAsia" w:hAnsi="Arial" w:cs="Times New Roman"/>
            <w:color w:val="2E74B5" w:themeColor="accent1" w:themeShade="BF"/>
            <w:sz w:val="24"/>
            <w:szCs w:val="20"/>
            <w:u w:val="single"/>
            <w:lang w:val="en-CA"/>
          </w:rPr>
          <w:t>2016 BCSC 1003</w:t>
        </w:r>
      </w:hyperlink>
      <w:r w:rsidRPr="00E91655">
        <w:rPr>
          <w:rFonts w:ascii="Arial" w:eastAsiaTheme="minorEastAsia" w:hAnsi="Arial" w:cs="Arial"/>
          <w:color w:val="2E74B5" w:themeColor="accent1" w:themeShade="BF"/>
          <w:sz w:val="24"/>
          <w:szCs w:val="20"/>
          <w:lang w:val="en-CA"/>
        </w:rPr>
        <w:t xml:space="preserve">; </w:t>
      </w:r>
    </w:p>
    <w:p w:rsidR="00E91655" w:rsidRPr="00E91655" w:rsidRDefault="00E91655" w:rsidP="00E91655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Arial" w:eastAsiaTheme="minorEastAsia" w:hAnsi="Arial" w:cs="Arial"/>
          <w:color w:val="FF0000"/>
          <w:sz w:val="24"/>
          <w:szCs w:val="20"/>
          <w:lang w:val="en-CA"/>
        </w:rPr>
      </w:pPr>
      <w:proofErr w:type="spellStart"/>
      <w:r w:rsidRPr="00E91655">
        <w:rPr>
          <w:rFonts w:ascii="Arial" w:eastAsiaTheme="minorEastAsia" w:hAnsi="Arial" w:cs="Arial"/>
          <w:i/>
          <w:color w:val="FF0000"/>
          <w:sz w:val="24"/>
          <w:szCs w:val="20"/>
          <w:lang w:val="en-CA"/>
        </w:rPr>
        <w:t>Pololos</w:t>
      </w:r>
      <w:proofErr w:type="spellEnd"/>
      <w:r w:rsidRPr="00E91655">
        <w:rPr>
          <w:rFonts w:ascii="Arial" w:eastAsiaTheme="minorEastAsia" w:hAnsi="Arial" w:cs="Arial"/>
          <w:i/>
          <w:color w:val="FF0000"/>
          <w:sz w:val="24"/>
          <w:szCs w:val="20"/>
          <w:lang w:val="en-CA"/>
        </w:rPr>
        <w:t xml:space="preserve"> v Cinnamon-Lopez, </w:t>
      </w:r>
      <w:hyperlink r:id="rId17" w:history="1">
        <w:r w:rsidRPr="00E91655">
          <w:rPr>
            <w:rFonts w:ascii="Arial" w:eastAsiaTheme="minorEastAsia" w:hAnsi="Arial" w:cs="Times New Roman"/>
            <w:color w:val="2E74B5" w:themeColor="accent1" w:themeShade="BF"/>
            <w:sz w:val="24"/>
            <w:szCs w:val="20"/>
            <w:u w:val="single"/>
            <w:lang w:val="en-CA"/>
          </w:rPr>
          <w:t>2016 BCSC 81</w:t>
        </w:r>
      </w:hyperlink>
      <w:r w:rsidRPr="00E91655">
        <w:rPr>
          <w:rFonts w:ascii="Arial" w:eastAsiaTheme="minorEastAsia" w:hAnsi="Arial" w:cs="Arial"/>
          <w:color w:val="2E74B5" w:themeColor="accent1" w:themeShade="BF"/>
          <w:sz w:val="24"/>
          <w:szCs w:val="20"/>
          <w:lang w:val="en-CA"/>
        </w:rPr>
        <w:t xml:space="preserve"> </w:t>
      </w:r>
    </w:p>
    <w:p w:rsidR="00E91655" w:rsidRPr="00E91655" w:rsidRDefault="00E91655" w:rsidP="00E9165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0"/>
          <w:lang w:val="en-CA"/>
        </w:rPr>
      </w:pPr>
    </w:p>
    <w:p w:rsidR="00E91655" w:rsidRPr="00E91655" w:rsidRDefault="00E91655" w:rsidP="00E91655">
      <w:pPr>
        <w:numPr>
          <w:ilvl w:val="0"/>
          <w:numId w:val="14"/>
        </w:num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0"/>
          <w:lang w:val="en-CA"/>
        </w:rPr>
      </w:pPr>
      <w:r w:rsidRPr="00E91655">
        <w:rPr>
          <w:rFonts w:ascii="Arial" w:eastAsiaTheme="minorEastAsia" w:hAnsi="Arial" w:cs="Arial"/>
          <w:sz w:val="24"/>
          <w:szCs w:val="20"/>
          <w:lang w:val="en-CA"/>
        </w:rPr>
        <w:t xml:space="preserve">Lost Homemaking Capacity: </w:t>
      </w:r>
      <w:r w:rsidRPr="00E91655">
        <w:rPr>
          <w:rFonts w:ascii="Arial" w:eastAsiaTheme="minorEastAsia" w:hAnsi="Arial" w:cs="Arial"/>
          <w:i/>
          <w:color w:val="FF0000"/>
          <w:sz w:val="24"/>
          <w:szCs w:val="20"/>
          <w:lang w:val="en-CA"/>
        </w:rPr>
        <w:t xml:space="preserve">Kim v. Lin, </w:t>
      </w:r>
      <w:hyperlink r:id="rId18" w:history="1">
        <w:r w:rsidRPr="00E91655">
          <w:rPr>
            <w:rFonts w:ascii="Arial" w:eastAsiaTheme="majorEastAsia" w:hAnsi="Arial" w:cs="Arial"/>
            <w:color w:val="0000FF"/>
            <w:sz w:val="24"/>
            <w:szCs w:val="20"/>
            <w:lang w:val="en"/>
          </w:rPr>
          <w:t>2016 BCSC 2405</w:t>
        </w:r>
      </w:hyperlink>
      <w:r w:rsidRPr="00E91655">
        <w:rPr>
          <w:rFonts w:ascii="Arial" w:eastAsiaTheme="minorEastAsia" w:hAnsi="Arial" w:cs="Arial"/>
          <w:sz w:val="24"/>
          <w:szCs w:val="20"/>
          <w:lang w:val="en"/>
        </w:rPr>
        <w:t>;</w:t>
      </w:r>
      <w:r w:rsidRPr="00E91655">
        <w:rPr>
          <w:rFonts w:ascii="Arial" w:eastAsiaTheme="minorEastAsia" w:hAnsi="Arial" w:cs="Times New Roman"/>
          <w:sz w:val="24"/>
          <w:szCs w:val="20"/>
          <w:lang w:val="en"/>
        </w:rPr>
        <w:t xml:space="preserve"> </w:t>
      </w:r>
      <w:r w:rsidRPr="00E91655">
        <w:rPr>
          <w:rFonts w:ascii="Arial" w:eastAsiaTheme="minorEastAsia" w:hAnsi="Arial" w:cs="Arial"/>
          <w:color w:val="FF0000"/>
          <w:sz w:val="24"/>
          <w:szCs w:val="20"/>
          <w:lang w:val="en"/>
        </w:rPr>
        <w:t>aff’d</w:t>
      </w:r>
      <w:r w:rsidRPr="00E91655">
        <w:rPr>
          <w:rFonts w:ascii="Arial" w:eastAsiaTheme="minorEastAsia" w:hAnsi="Arial" w:cs="Times New Roman"/>
          <w:color w:val="FF0000"/>
          <w:sz w:val="24"/>
          <w:szCs w:val="20"/>
          <w:lang w:val="en"/>
        </w:rPr>
        <w:t xml:space="preserve"> </w:t>
      </w:r>
      <w:hyperlink r:id="rId19" w:history="1">
        <w:r w:rsidRPr="00E91655">
          <w:rPr>
            <w:rFonts w:ascii="Arial" w:eastAsiaTheme="minorEastAsia" w:hAnsi="Arial" w:cs="Times New Roman"/>
            <w:color w:val="0000FF"/>
            <w:sz w:val="24"/>
            <w:szCs w:val="20"/>
            <w:u w:val="single"/>
            <w:lang w:val="en-CA"/>
          </w:rPr>
          <w:t>2018 BCCA 77</w:t>
        </w:r>
      </w:hyperlink>
      <w:r w:rsidRPr="00E91655">
        <w:rPr>
          <w:rFonts w:ascii="Arial" w:eastAsiaTheme="minorEastAsia" w:hAnsi="Arial" w:cs="Arial"/>
          <w:sz w:val="24"/>
          <w:szCs w:val="20"/>
          <w:lang w:val="en-CA"/>
        </w:rPr>
        <w:t xml:space="preserve"> </w:t>
      </w:r>
    </w:p>
    <w:p w:rsidR="00E91655" w:rsidRPr="00E91655" w:rsidRDefault="00E91655" w:rsidP="00E91655">
      <w:p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0"/>
          <w:lang w:val="en-CA"/>
        </w:rPr>
      </w:pPr>
    </w:p>
    <w:p w:rsidR="00E91655" w:rsidRPr="00E91655" w:rsidRDefault="00E91655" w:rsidP="00E91655">
      <w:pPr>
        <w:numPr>
          <w:ilvl w:val="0"/>
          <w:numId w:val="14"/>
        </w:num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0"/>
          <w:lang w:val="en-CA"/>
        </w:rPr>
      </w:pPr>
      <w:r w:rsidRPr="00E91655">
        <w:rPr>
          <w:rFonts w:ascii="Arial" w:eastAsiaTheme="minorEastAsia" w:hAnsi="Arial" w:cs="Arial"/>
          <w:sz w:val="24"/>
          <w:szCs w:val="20"/>
          <w:lang w:val="en-CA"/>
        </w:rPr>
        <w:t xml:space="preserve">Special damages and cost of future care – medical justification for future cost of care needs </w:t>
      </w:r>
    </w:p>
    <w:p w:rsidR="00E91655" w:rsidRPr="00E91655" w:rsidRDefault="00E91655" w:rsidP="00E91655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0"/>
          <w:lang w:val="en-CA"/>
        </w:rPr>
      </w:pPr>
    </w:p>
    <w:p w:rsidR="00E91655" w:rsidRPr="00E91655" w:rsidRDefault="00E91655" w:rsidP="00E91655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0"/>
          <w:lang w:val="en-CA"/>
        </w:rPr>
      </w:pPr>
      <w:hyperlink r:id="rId20" w:history="1">
        <w:r w:rsidRPr="00E91655">
          <w:rPr>
            <w:rFonts w:ascii="Arial" w:eastAsiaTheme="minorEastAsia" w:hAnsi="Arial" w:cs="Times New Roman"/>
            <w:color w:val="0000FF"/>
            <w:sz w:val="24"/>
            <w:szCs w:val="20"/>
            <w:u w:val="single"/>
            <w:lang w:val="en-CA"/>
          </w:rPr>
          <w:t xml:space="preserve">Slater M, “Future Cost of Care in Canada – Justice Requires Something Better” Verdict 2010; </w:t>
        </w:r>
      </w:hyperlink>
      <w:r w:rsidRPr="00E91655">
        <w:rPr>
          <w:rFonts w:ascii="Arial" w:eastAsiaTheme="minorEastAsia" w:hAnsi="Arial" w:cs="Arial"/>
          <w:sz w:val="24"/>
          <w:szCs w:val="20"/>
          <w:lang w:val="en-CA"/>
        </w:rPr>
        <w:t xml:space="preserve"> </w:t>
      </w:r>
    </w:p>
    <w:p w:rsidR="00E91655" w:rsidRPr="00E91655" w:rsidRDefault="00E91655" w:rsidP="00E91655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0"/>
          <w:lang w:val="en-CA"/>
        </w:rPr>
      </w:pPr>
      <w:r w:rsidRPr="00E91655">
        <w:rPr>
          <w:rFonts w:ascii="Arial" w:eastAsiaTheme="minorEastAsia" w:hAnsi="Arial" w:cs="Arial"/>
          <w:i/>
          <w:sz w:val="24"/>
          <w:szCs w:val="20"/>
          <w:lang w:val="en-CA"/>
        </w:rPr>
        <w:t xml:space="preserve">Milina v. </w:t>
      </w:r>
      <w:proofErr w:type="spellStart"/>
      <w:r w:rsidRPr="00E91655">
        <w:rPr>
          <w:rFonts w:ascii="Arial" w:eastAsiaTheme="minorEastAsia" w:hAnsi="Arial" w:cs="Arial"/>
          <w:i/>
          <w:sz w:val="24"/>
          <w:szCs w:val="20"/>
          <w:lang w:val="en-CA"/>
        </w:rPr>
        <w:t>Bartsch</w:t>
      </w:r>
      <w:proofErr w:type="spellEnd"/>
      <w:r w:rsidRPr="00E91655">
        <w:rPr>
          <w:rFonts w:ascii="Arial" w:eastAsiaTheme="minorEastAsia" w:hAnsi="Arial" w:cs="Arial"/>
          <w:sz w:val="24"/>
          <w:szCs w:val="20"/>
          <w:lang w:val="en-CA"/>
        </w:rPr>
        <w:t xml:space="preserve"> (1985), 49 B.C.L.R. (2d) 33 (S.C.), aff’d (1987), 49  B.C.L.R. (2d) 99 (</w:t>
      </w:r>
      <w:proofErr w:type="spellStart"/>
      <w:r w:rsidRPr="00E91655">
        <w:rPr>
          <w:rFonts w:ascii="Arial" w:eastAsiaTheme="minorEastAsia" w:hAnsi="Arial" w:cs="Arial"/>
          <w:sz w:val="24"/>
          <w:szCs w:val="20"/>
          <w:lang w:val="en-CA"/>
        </w:rPr>
        <w:t>C.A.y</w:t>
      </w:r>
      <w:proofErr w:type="spellEnd"/>
      <w:r w:rsidRPr="00E91655">
        <w:rPr>
          <w:rFonts w:ascii="Arial" w:eastAsiaTheme="minorEastAsia" w:hAnsi="Arial" w:cs="Arial"/>
          <w:sz w:val="24"/>
          <w:szCs w:val="20"/>
          <w:lang w:val="en-CA"/>
        </w:rPr>
        <w:t xml:space="preserve">); </w:t>
      </w:r>
    </w:p>
    <w:p w:rsidR="00E91655" w:rsidRPr="00E91655" w:rsidRDefault="00E91655" w:rsidP="00E91655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0"/>
          <w:lang w:val="en-CA"/>
        </w:rPr>
      </w:pPr>
      <w:hyperlink r:id="rId21" w:anchor="_Toc409009370" w:history="1">
        <w:proofErr w:type="spellStart"/>
        <w:r w:rsidRPr="00E91655">
          <w:rPr>
            <w:rFonts w:ascii="Arial" w:eastAsiaTheme="minorEastAsia" w:hAnsi="Arial" w:cs="Times New Roman"/>
            <w:i/>
            <w:color w:val="0000FF"/>
            <w:sz w:val="24"/>
            <w:szCs w:val="20"/>
            <w:u w:val="single"/>
            <w:lang w:val="en-CA"/>
          </w:rPr>
          <w:t>Torchia</w:t>
        </w:r>
        <w:proofErr w:type="spellEnd"/>
        <w:r w:rsidRPr="00E91655">
          <w:rPr>
            <w:rFonts w:ascii="Arial" w:eastAsiaTheme="minorEastAsia" w:hAnsi="Arial" w:cs="Times New Roman"/>
            <w:i/>
            <w:color w:val="0000FF"/>
            <w:sz w:val="24"/>
            <w:szCs w:val="20"/>
            <w:u w:val="single"/>
            <w:lang w:val="en-CA"/>
          </w:rPr>
          <w:t xml:space="preserve"> v. </w:t>
        </w:r>
        <w:proofErr w:type="spellStart"/>
        <w:r w:rsidRPr="00E91655">
          <w:rPr>
            <w:rFonts w:ascii="Arial" w:eastAsiaTheme="minorEastAsia" w:hAnsi="Arial" w:cs="Times New Roman"/>
            <w:i/>
            <w:color w:val="0000FF"/>
            <w:sz w:val="24"/>
            <w:szCs w:val="20"/>
            <w:u w:val="single"/>
            <w:lang w:val="en-CA"/>
          </w:rPr>
          <w:t>Siegrist</w:t>
        </w:r>
        <w:proofErr w:type="spellEnd"/>
        <w:r w:rsidRPr="00E91655">
          <w:rPr>
            <w:rFonts w:ascii="Arial" w:eastAsiaTheme="minorEastAsia" w:hAnsi="Arial" w:cs="Times New Roman"/>
            <w:i/>
            <w:color w:val="0000FF"/>
            <w:sz w:val="24"/>
            <w:szCs w:val="20"/>
            <w:u w:val="single"/>
            <w:lang w:val="en-CA"/>
          </w:rPr>
          <w:t xml:space="preserve">, </w:t>
        </w:r>
        <w:r w:rsidRPr="00E91655">
          <w:rPr>
            <w:rFonts w:ascii="Arial" w:eastAsiaTheme="minorEastAsia" w:hAnsi="Arial" w:cs="Times New Roman"/>
            <w:color w:val="0000FF"/>
            <w:sz w:val="24"/>
            <w:szCs w:val="20"/>
            <w:u w:val="single"/>
            <w:lang w:val="en-CA"/>
          </w:rPr>
          <w:t>2015 BCSC 57</w:t>
        </w:r>
      </w:hyperlink>
    </w:p>
    <w:p w:rsidR="00E91655" w:rsidRPr="00E91655" w:rsidRDefault="00E91655" w:rsidP="00E9165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0"/>
          <w:lang w:val="en-CA"/>
        </w:rPr>
      </w:pPr>
    </w:p>
    <w:p w:rsidR="00E91655" w:rsidRPr="00E91655" w:rsidRDefault="00E91655" w:rsidP="00E91655">
      <w:pPr>
        <w:numPr>
          <w:ilvl w:val="0"/>
          <w:numId w:val="14"/>
        </w:num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0"/>
          <w:lang w:val="en-CA"/>
        </w:rPr>
      </w:pPr>
      <w:r w:rsidRPr="00E91655">
        <w:rPr>
          <w:rFonts w:ascii="Arial" w:eastAsiaTheme="minorEastAsia" w:hAnsi="Arial" w:cs="Arial"/>
          <w:sz w:val="24"/>
          <w:szCs w:val="20"/>
          <w:lang w:val="en-CA"/>
        </w:rPr>
        <w:t xml:space="preserve">Total Lifestyle Approach: </w:t>
      </w:r>
      <w:proofErr w:type="spellStart"/>
      <w:r w:rsidRPr="00E91655">
        <w:rPr>
          <w:rFonts w:ascii="Arial" w:eastAsiaTheme="minorEastAsia" w:hAnsi="Arial" w:cs="Arial"/>
          <w:b/>
          <w:bCs/>
          <w:i/>
          <w:iCs/>
          <w:lang w:val="en-CA"/>
        </w:rPr>
        <w:t>Uy</w:t>
      </w:r>
      <w:proofErr w:type="spellEnd"/>
      <w:r w:rsidRPr="00E91655">
        <w:rPr>
          <w:rFonts w:ascii="Arial" w:eastAsiaTheme="minorEastAsia" w:hAnsi="Arial" w:cs="Arial"/>
          <w:b/>
          <w:bCs/>
          <w:i/>
          <w:iCs/>
          <w:lang w:val="en-CA"/>
        </w:rPr>
        <w:t xml:space="preserve"> v. Dhillon, </w:t>
      </w:r>
      <w:hyperlink r:id="rId22" w:history="1">
        <w:r w:rsidRPr="00E91655">
          <w:rPr>
            <w:rFonts w:ascii="Arial" w:eastAsiaTheme="minorEastAsia" w:hAnsi="Arial" w:cs="Arial"/>
            <w:b/>
            <w:bCs/>
            <w:i/>
            <w:iCs/>
            <w:color w:val="0000FF"/>
            <w:u w:val="single"/>
            <w:lang w:val="en-CA"/>
          </w:rPr>
          <w:t xml:space="preserve">2020 BCSC 1302 </w:t>
        </w:r>
      </w:hyperlink>
    </w:p>
    <w:p w:rsidR="00E91655" w:rsidRPr="00E91655" w:rsidRDefault="00E91655" w:rsidP="00E9165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0"/>
          <w:lang w:val="en-CA"/>
        </w:rPr>
      </w:pPr>
    </w:p>
    <w:p w:rsidR="00E91655" w:rsidRPr="00E91655" w:rsidRDefault="00E91655" w:rsidP="00E91655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val="en-CA"/>
        </w:rPr>
      </w:pPr>
    </w:p>
    <w:p w:rsidR="00E91655" w:rsidRPr="00E91655" w:rsidRDefault="00E91655" w:rsidP="00E91655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FEBRUARY 15, 2021: FAMILY DAY / READING WEEK</w:t>
      </w:r>
    </w:p>
    <w:p w:rsidR="00E91655" w:rsidRPr="00E91655" w:rsidRDefault="00E91655" w:rsidP="00E91655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</w:pPr>
    </w:p>
    <w:p w:rsidR="00E91655" w:rsidRPr="00E91655" w:rsidRDefault="00E91655" w:rsidP="00E91655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eastAsiaTheme="minorEastAsia" w:hAnsi="Arial" w:cs="Arial"/>
          <w:i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W</w:t>
      </w:r>
      <w:r w:rsidRPr="00E91655">
        <w:rPr>
          <w:rFonts w:ascii="Arial" w:eastAsiaTheme="minorEastAsia" w:hAnsi="Arial" w:cs="Arial"/>
          <w:b/>
          <w:bCs/>
          <w:spacing w:val="-1"/>
          <w:position w:val="-1"/>
          <w:sz w:val="24"/>
          <w:szCs w:val="24"/>
          <w:lang w:val="en-CA"/>
        </w:rPr>
        <w:t>EE</w:t>
      </w:r>
      <w:r w:rsidRPr="00E91655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K</w:t>
      </w:r>
      <w:r w:rsidRPr="00E91655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 xml:space="preserve"> </w:t>
      </w:r>
      <w:r w:rsidRPr="00E91655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6</w:t>
      </w:r>
      <w:r w:rsidRPr="00E91655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 xml:space="preserve">: FEBRUARY 22, 2021 </w:t>
      </w:r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 xml:space="preserve">- </w:t>
      </w:r>
      <w:r w:rsidRPr="00E91655">
        <w:rPr>
          <w:rFonts w:ascii="Arial" w:eastAsiaTheme="minorEastAsia" w:hAnsi="Arial" w:cs="Arial"/>
          <w:b/>
          <w:bCs/>
          <w:sz w:val="24"/>
          <w:szCs w:val="24"/>
          <w:lang w:val="en-CA"/>
        </w:rPr>
        <w:t>T</w:t>
      </w:r>
      <w:r w:rsidRPr="00E91655">
        <w:rPr>
          <w:rFonts w:ascii="Arial" w:eastAsiaTheme="minorEastAsia" w:hAnsi="Arial" w:cs="Arial"/>
          <w:b/>
          <w:bCs/>
          <w:spacing w:val="1"/>
          <w:sz w:val="24"/>
          <w:szCs w:val="24"/>
          <w:lang w:val="en-CA"/>
        </w:rPr>
        <w:t>h</w:t>
      </w:r>
      <w:r w:rsidRPr="00E91655">
        <w:rPr>
          <w:rFonts w:ascii="Arial" w:eastAsiaTheme="minorEastAsia" w:hAnsi="Arial" w:cs="Arial"/>
          <w:b/>
          <w:bCs/>
          <w:sz w:val="24"/>
          <w:szCs w:val="24"/>
          <w:lang w:val="en-CA"/>
        </w:rPr>
        <w:t>e</w:t>
      </w:r>
      <w:r w:rsidRPr="00E91655">
        <w:rPr>
          <w:rFonts w:ascii="Arial" w:eastAsiaTheme="minorEastAsia" w:hAnsi="Arial" w:cs="Arial"/>
          <w:b/>
          <w:bCs/>
          <w:spacing w:val="-1"/>
          <w:sz w:val="24"/>
          <w:szCs w:val="24"/>
          <w:lang w:val="en-CA"/>
        </w:rPr>
        <w:t xml:space="preserve"> </w:t>
      </w:r>
      <w:r w:rsidRPr="00E91655">
        <w:rPr>
          <w:rFonts w:ascii="Arial" w:eastAsiaTheme="minorEastAsia" w:hAnsi="Arial" w:cs="Arial"/>
          <w:b/>
          <w:bCs/>
          <w:spacing w:val="1"/>
          <w:sz w:val="24"/>
          <w:szCs w:val="24"/>
          <w:lang w:val="en-CA"/>
        </w:rPr>
        <w:t>d</w:t>
      </w:r>
      <w:r w:rsidRPr="00E91655">
        <w:rPr>
          <w:rFonts w:ascii="Arial" w:eastAsiaTheme="minorEastAsia" w:hAnsi="Arial" w:cs="Arial"/>
          <w:b/>
          <w:bCs/>
          <w:spacing w:val="-1"/>
          <w:sz w:val="24"/>
          <w:szCs w:val="24"/>
          <w:lang w:val="en-CA"/>
        </w:rPr>
        <w:t>e</w:t>
      </w:r>
      <w:r w:rsidRPr="00E91655">
        <w:rPr>
          <w:rFonts w:ascii="Arial" w:eastAsiaTheme="minorEastAsia" w:hAnsi="Arial" w:cs="Arial"/>
          <w:b/>
          <w:bCs/>
          <w:spacing w:val="1"/>
          <w:sz w:val="24"/>
          <w:szCs w:val="24"/>
          <w:lang w:val="en-CA"/>
        </w:rPr>
        <w:t>f</w:t>
      </w:r>
      <w:r w:rsidRPr="00E91655">
        <w:rPr>
          <w:rFonts w:ascii="Arial" w:eastAsiaTheme="minorEastAsia" w:hAnsi="Arial" w:cs="Arial"/>
          <w:b/>
          <w:bCs/>
          <w:spacing w:val="-1"/>
          <w:sz w:val="24"/>
          <w:szCs w:val="24"/>
          <w:lang w:val="en-CA"/>
        </w:rPr>
        <w:t>e</w:t>
      </w:r>
      <w:r w:rsidRPr="00E91655">
        <w:rPr>
          <w:rFonts w:ascii="Arial" w:eastAsiaTheme="minorEastAsia" w:hAnsi="Arial" w:cs="Arial"/>
          <w:b/>
          <w:bCs/>
          <w:spacing w:val="1"/>
          <w:sz w:val="24"/>
          <w:szCs w:val="24"/>
          <w:lang w:val="en-CA"/>
        </w:rPr>
        <w:t>n</w:t>
      </w:r>
      <w:r w:rsidRPr="00E91655">
        <w:rPr>
          <w:rFonts w:ascii="Arial" w:eastAsiaTheme="minorEastAsia" w:hAnsi="Arial" w:cs="Arial"/>
          <w:b/>
          <w:bCs/>
          <w:spacing w:val="-1"/>
          <w:sz w:val="24"/>
          <w:szCs w:val="24"/>
          <w:lang w:val="en-CA"/>
        </w:rPr>
        <w:t>c</w:t>
      </w:r>
      <w:r w:rsidRPr="00E91655">
        <w:rPr>
          <w:rFonts w:ascii="Arial" w:eastAsiaTheme="minorEastAsia" w:hAnsi="Arial" w:cs="Arial"/>
          <w:b/>
          <w:bCs/>
          <w:sz w:val="24"/>
          <w:szCs w:val="24"/>
          <w:lang w:val="en-CA"/>
        </w:rPr>
        <w:t>e</w:t>
      </w:r>
      <w:r w:rsidRPr="00E91655">
        <w:rPr>
          <w:rFonts w:ascii="Arial" w:eastAsiaTheme="minorEastAsia" w:hAnsi="Arial" w:cs="Arial"/>
          <w:b/>
          <w:bCs/>
          <w:spacing w:val="-1"/>
          <w:sz w:val="24"/>
          <w:szCs w:val="24"/>
          <w:lang w:val="en-CA"/>
        </w:rPr>
        <w:t xml:space="preserve"> </w:t>
      </w:r>
      <w:r w:rsidRPr="00E91655">
        <w:rPr>
          <w:rFonts w:ascii="Arial" w:eastAsiaTheme="minorEastAsia" w:hAnsi="Arial" w:cs="Arial"/>
          <w:b/>
          <w:bCs/>
          <w:sz w:val="24"/>
          <w:szCs w:val="24"/>
          <w:lang w:val="en-CA"/>
        </w:rPr>
        <w:t>of</w:t>
      </w:r>
      <w:r w:rsidRPr="00E91655">
        <w:rPr>
          <w:rFonts w:ascii="Arial" w:eastAsiaTheme="minorEastAsia" w:hAnsi="Arial" w:cs="Arial"/>
          <w:b/>
          <w:bCs/>
          <w:spacing w:val="3"/>
          <w:sz w:val="24"/>
          <w:szCs w:val="24"/>
          <w:lang w:val="en-CA"/>
        </w:rPr>
        <w:t xml:space="preserve"> </w:t>
      </w:r>
      <w:r w:rsidRPr="00E91655">
        <w:rPr>
          <w:rFonts w:ascii="Arial" w:eastAsiaTheme="minorEastAsia" w:hAnsi="Arial" w:cs="Arial"/>
          <w:b/>
          <w:bCs/>
          <w:spacing w:val="1"/>
          <w:sz w:val="24"/>
          <w:szCs w:val="24"/>
          <w:lang w:val="en-CA"/>
        </w:rPr>
        <w:t>p</w:t>
      </w:r>
      <w:r w:rsidRPr="00E91655">
        <w:rPr>
          <w:rFonts w:ascii="Arial" w:eastAsiaTheme="minorEastAsia" w:hAnsi="Arial" w:cs="Arial"/>
          <w:b/>
          <w:bCs/>
          <w:spacing w:val="-1"/>
          <w:sz w:val="24"/>
          <w:szCs w:val="24"/>
          <w:lang w:val="en-CA"/>
        </w:rPr>
        <w:t>er</w:t>
      </w:r>
      <w:r w:rsidRPr="00E91655">
        <w:rPr>
          <w:rFonts w:ascii="Arial" w:eastAsiaTheme="minorEastAsia" w:hAnsi="Arial" w:cs="Arial"/>
          <w:b/>
          <w:bCs/>
          <w:sz w:val="24"/>
          <w:szCs w:val="24"/>
          <w:lang w:val="en-CA"/>
        </w:rPr>
        <w:t>so</w:t>
      </w:r>
      <w:r w:rsidRPr="00E91655">
        <w:rPr>
          <w:rFonts w:ascii="Arial" w:eastAsiaTheme="minorEastAsia" w:hAnsi="Arial" w:cs="Arial"/>
          <w:b/>
          <w:bCs/>
          <w:spacing w:val="1"/>
          <w:sz w:val="24"/>
          <w:szCs w:val="24"/>
          <w:lang w:val="en-CA"/>
        </w:rPr>
        <w:t>n</w:t>
      </w:r>
      <w:r w:rsidRPr="00E91655">
        <w:rPr>
          <w:rFonts w:ascii="Arial" w:eastAsiaTheme="minorEastAsia" w:hAnsi="Arial" w:cs="Arial"/>
          <w:b/>
          <w:bCs/>
          <w:sz w:val="24"/>
          <w:szCs w:val="24"/>
          <w:lang w:val="en-CA"/>
        </w:rPr>
        <w:t>al</w:t>
      </w:r>
      <w:r w:rsidRPr="00E91655">
        <w:rPr>
          <w:rFonts w:ascii="Arial" w:eastAsiaTheme="minorEastAsia" w:hAnsi="Arial" w:cs="Arial"/>
          <w:b/>
          <w:bCs/>
          <w:spacing w:val="-2"/>
          <w:sz w:val="24"/>
          <w:szCs w:val="24"/>
          <w:lang w:val="en-CA"/>
        </w:rPr>
        <w:t xml:space="preserve"> </w:t>
      </w:r>
      <w:r w:rsidRPr="00E91655">
        <w:rPr>
          <w:rFonts w:ascii="Arial" w:eastAsiaTheme="minorEastAsia" w:hAnsi="Arial" w:cs="Arial"/>
          <w:b/>
          <w:bCs/>
          <w:sz w:val="24"/>
          <w:szCs w:val="24"/>
          <w:lang w:val="en-CA"/>
        </w:rPr>
        <w:t>i</w:t>
      </w:r>
      <w:r w:rsidRPr="00E91655">
        <w:rPr>
          <w:rFonts w:ascii="Arial" w:eastAsiaTheme="minorEastAsia" w:hAnsi="Arial" w:cs="Arial"/>
          <w:b/>
          <w:bCs/>
          <w:spacing w:val="1"/>
          <w:sz w:val="24"/>
          <w:szCs w:val="24"/>
          <w:lang w:val="en-CA"/>
        </w:rPr>
        <w:t>n</w:t>
      </w:r>
      <w:r w:rsidRPr="00E91655">
        <w:rPr>
          <w:rFonts w:ascii="Arial" w:eastAsiaTheme="minorEastAsia" w:hAnsi="Arial" w:cs="Arial"/>
          <w:b/>
          <w:bCs/>
          <w:sz w:val="24"/>
          <w:szCs w:val="24"/>
          <w:lang w:val="en-CA"/>
        </w:rPr>
        <w:t>ju</w:t>
      </w:r>
      <w:r w:rsidRPr="00E91655">
        <w:rPr>
          <w:rFonts w:ascii="Arial" w:eastAsiaTheme="minorEastAsia" w:hAnsi="Arial" w:cs="Arial"/>
          <w:b/>
          <w:bCs/>
          <w:spacing w:val="-1"/>
          <w:sz w:val="24"/>
          <w:szCs w:val="24"/>
          <w:lang w:val="en-CA"/>
        </w:rPr>
        <w:t>r</w:t>
      </w:r>
      <w:r w:rsidRPr="00E91655">
        <w:rPr>
          <w:rFonts w:ascii="Arial" w:eastAsiaTheme="minorEastAsia" w:hAnsi="Arial" w:cs="Arial"/>
          <w:b/>
          <w:bCs/>
          <w:sz w:val="24"/>
          <w:szCs w:val="24"/>
          <w:lang w:val="en-CA"/>
        </w:rPr>
        <w:t xml:space="preserve">y </w:t>
      </w:r>
      <w:r w:rsidRPr="00E91655">
        <w:rPr>
          <w:rFonts w:ascii="Arial" w:eastAsiaTheme="minorEastAsia" w:hAnsi="Arial" w:cs="Arial"/>
          <w:b/>
          <w:bCs/>
          <w:spacing w:val="-1"/>
          <w:sz w:val="24"/>
          <w:szCs w:val="24"/>
          <w:lang w:val="en-CA"/>
        </w:rPr>
        <w:t>c</w:t>
      </w:r>
      <w:r w:rsidRPr="00E91655">
        <w:rPr>
          <w:rFonts w:ascii="Arial" w:eastAsiaTheme="minorEastAsia" w:hAnsi="Arial" w:cs="Arial"/>
          <w:b/>
          <w:bCs/>
          <w:sz w:val="24"/>
          <w:szCs w:val="24"/>
          <w:lang w:val="en-CA"/>
        </w:rPr>
        <w:t>la</w:t>
      </w:r>
      <w:r w:rsidRPr="00E91655">
        <w:rPr>
          <w:rFonts w:ascii="Arial" w:eastAsiaTheme="minorEastAsia" w:hAnsi="Arial" w:cs="Arial"/>
          <w:b/>
          <w:bCs/>
          <w:spacing w:val="1"/>
          <w:sz w:val="24"/>
          <w:szCs w:val="24"/>
          <w:lang w:val="en-CA"/>
        </w:rPr>
        <w:t>i</w:t>
      </w:r>
      <w:r w:rsidRPr="00E91655">
        <w:rPr>
          <w:rFonts w:ascii="Arial" w:eastAsiaTheme="minorEastAsia" w:hAnsi="Arial" w:cs="Arial"/>
          <w:b/>
          <w:bCs/>
          <w:spacing w:val="-3"/>
          <w:sz w:val="24"/>
          <w:szCs w:val="24"/>
          <w:lang w:val="en-CA"/>
        </w:rPr>
        <w:t>m</w:t>
      </w:r>
      <w:r w:rsidRPr="00E91655">
        <w:rPr>
          <w:rFonts w:ascii="Arial" w:eastAsiaTheme="minorEastAsia" w:hAnsi="Arial" w:cs="Arial"/>
          <w:b/>
          <w:bCs/>
          <w:sz w:val="24"/>
          <w:szCs w:val="24"/>
          <w:lang w:val="en-CA"/>
        </w:rPr>
        <w:t>s</w:t>
      </w:r>
    </w:p>
    <w:p w:rsidR="00E91655" w:rsidRPr="00E91655" w:rsidRDefault="00E91655" w:rsidP="00E91655">
      <w:pPr>
        <w:tabs>
          <w:tab w:val="left" w:pos="342"/>
        </w:tabs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0"/>
          <w:numId w:val="1"/>
        </w:numPr>
        <w:tabs>
          <w:tab w:val="clear" w:pos="360"/>
          <w:tab w:val="left" w:pos="342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>Surveillance, social media, and investigation of plaintiffs – Big Brother is watching!</w:t>
      </w:r>
    </w:p>
    <w:p w:rsidR="00E91655" w:rsidRPr="00E91655" w:rsidRDefault="00E91655" w:rsidP="00E91655">
      <w:pPr>
        <w:spacing w:after="0" w:line="240" w:lineRule="auto"/>
        <w:ind w:left="360"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0"/>
          <w:numId w:val="1"/>
        </w:numPr>
        <w:tabs>
          <w:tab w:val="clear" w:pos="360"/>
          <w:tab w:val="left" w:pos="342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Credibility – </w:t>
      </w:r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 xml:space="preserve">Foster v. </w:t>
      </w:r>
      <w:proofErr w:type="spellStart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>Kindlan</w:t>
      </w:r>
      <w:proofErr w:type="spellEnd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 xml:space="preserve"> and </w:t>
      </w:r>
      <w:proofErr w:type="spellStart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>Pineau</w:t>
      </w:r>
      <w:proofErr w:type="spellEnd"/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, 2012 BCSC 681 and </w:t>
      </w:r>
      <w:proofErr w:type="spellStart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>Sevinski</w:t>
      </w:r>
      <w:proofErr w:type="spellEnd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 xml:space="preserve"> v. Vance</w:t>
      </w:r>
      <w:r w:rsidRPr="00E91655">
        <w:rPr>
          <w:rFonts w:ascii="Arial" w:eastAsiaTheme="minorEastAsia" w:hAnsi="Arial" w:cs="Arial"/>
          <w:sz w:val="24"/>
          <w:szCs w:val="24"/>
          <w:lang w:val="en-CA"/>
        </w:rPr>
        <w:t>, 2011 BCSC 892.</w:t>
      </w:r>
    </w:p>
    <w:p w:rsidR="00E91655" w:rsidRPr="00E91655" w:rsidRDefault="00E91655" w:rsidP="00E91655">
      <w:pPr>
        <w:spacing w:after="0" w:line="240" w:lineRule="auto"/>
        <w:ind w:left="360"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0"/>
          <w:numId w:val="1"/>
        </w:numPr>
        <w:tabs>
          <w:tab w:val="clear" w:pos="360"/>
          <w:tab w:val="left" w:pos="342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Failure to mitigate - </w:t>
      </w:r>
      <w:proofErr w:type="spellStart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>Maslen</w:t>
      </w:r>
      <w:proofErr w:type="spellEnd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 xml:space="preserve"> v. Rubenstein</w:t>
      </w: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 (1993), 83 B.C.L.R. (2d) 131 (C.A.); </w:t>
      </w:r>
      <w:proofErr w:type="spellStart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>Janiak</w:t>
      </w:r>
      <w:proofErr w:type="spellEnd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 xml:space="preserve"> v. </w:t>
      </w:r>
      <w:proofErr w:type="spellStart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>Ippolito</w:t>
      </w:r>
      <w:proofErr w:type="spellEnd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>,</w:t>
      </w: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 [1985] 1 S.C.R. 146</w:t>
      </w:r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 xml:space="preserve">; </w:t>
      </w:r>
      <w:proofErr w:type="spellStart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>Rozendall</w:t>
      </w:r>
      <w:proofErr w:type="spellEnd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 xml:space="preserve"> v. </w:t>
      </w:r>
      <w:proofErr w:type="spellStart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>Landingin</w:t>
      </w:r>
      <w:proofErr w:type="spellEnd"/>
      <w:r w:rsidRPr="00E91655">
        <w:rPr>
          <w:rFonts w:ascii="Arial" w:eastAsiaTheme="minorEastAsia" w:hAnsi="Arial" w:cs="Arial"/>
          <w:sz w:val="24"/>
          <w:szCs w:val="24"/>
          <w:lang w:val="en-CA"/>
        </w:rPr>
        <w:t>, 2013 BCSC 24.</w:t>
      </w:r>
    </w:p>
    <w:p w:rsidR="00E91655" w:rsidRPr="00E91655" w:rsidRDefault="00E91655" w:rsidP="00E91655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0"/>
          <w:numId w:val="1"/>
        </w:numPr>
        <w:tabs>
          <w:tab w:val="clear" w:pos="360"/>
          <w:tab w:val="left" w:pos="342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Defence of personal injury claims – a defence lawyer’s perspective: </w:t>
      </w:r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>Murray A, “Insurance Defence: Practical Considerations and Preparation for Change”.</w:t>
      </w:r>
    </w:p>
    <w:p w:rsidR="00E91655" w:rsidRPr="00E91655" w:rsidRDefault="00E91655" w:rsidP="00E91655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0"/>
          <w:numId w:val="1"/>
        </w:numPr>
        <w:tabs>
          <w:tab w:val="clear" w:pos="360"/>
          <w:tab w:val="left" w:pos="342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Psychology of persuasion: polarizing the case to rebut the defence attack on credibility - </w:t>
      </w:r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 xml:space="preserve">Foster v. </w:t>
      </w:r>
      <w:proofErr w:type="spellStart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>Kindlan</w:t>
      </w:r>
      <w:proofErr w:type="spellEnd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 xml:space="preserve"> and </w:t>
      </w:r>
      <w:proofErr w:type="spellStart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>Pineau</w:t>
      </w:r>
      <w:proofErr w:type="spellEnd"/>
      <w:r w:rsidRPr="00E91655">
        <w:rPr>
          <w:rFonts w:ascii="Arial" w:eastAsiaTheme="minorEastAsia" w:hAnsi="Arial" w:cs="Arial"/>
          <w:sz w:val="24"/>
          <w:szCs w:val="24"/>
          <w:lang w:val="en-CA"/>
        </w:rPr>
        <w:t>, 2012 BCSC 681</w:t>
      </w:r>
    </w:p>
    <w:p w:rsidR="00E91655" w:rsidRPr="00E91655" w:rsidRDefault="00E91655" w:rsidP="00E91655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0"/>
          <w:numId w:val="1"/>
        </w:numPr>
        <w:tabs>
          <w:tab w:val="clear" w:pos="360"/>
          <w:tab w:val="left" w:pos="342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Waivers: </w:t>
      </w:r>
      <w:proofErr w:type="spellStart"/>
      <w:r w:rsidRPr="00E91655">
        <w:rPr>
          <w:rFonts w:ascii="Arial" w:eastAsiaTheme="minorEastAsia" w:hAnsi="Arial" w:cs="Arial"/>
          <w:i/>
          <w:sz w:val="24"/>
          <w:szCs w:val="20"/>
          <w:lang w:val="en-CA"/>
        </w:rPr>
        <w:t>Loychuk</w:t>
      </w:r>
      <w:proofErr w:type="spellEnd"/>
      <w:r w:rsidRPr="00E91655">
        <w:rPr>
          <w:rFonts w:ascii="Arial" w:eastAsiaTheme="minorEastAsia" w:hAnsi="Arial" w:cs="Arial"/>
          <w:i/>
          <w:sz w:val="24"/>
          <w:szCs w:val="20"/>
          <w:lang w:val="en-CA"/>
        </w:rPr>
        <w:t xml:space="preserve"> v. Cougar Mountain Adventures Ltd</w:t>
      </w:r>
      <w:r w:rsidRPr="00E91655">
        <w:rPr>
          <w:rFonts w:ascii="Arial" w:eastAsiaTheme="minorEastAsia" w:hAnsi="Arial" w:cs="Arial"/>
          <w:sz w:val="24"/>
          <w:szCs w:val="20"/>
          <w:lang w:val="en-CA"/>
        </w:rPr>
        <w:t>. 2011 BCSC 193, affirmed 2012 BCCA 122, leave to appeal to refused [2012] S.C.C.A. No. 225</w:t>
      </w:r>
    </w:p>
    <w:p w:rsidR="00E91655" w:rsidRPr="00E91655" w:rsidRDefault="00E91655" w:rsidP="00E91655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0"/>
          <w:numId w:val="1"/>
        </w:numPr>
        <w:tabs>
          <w:tab w:val="clear" w:pos="360"/>
          <w:tab w:val="left" w:pos="342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Section 10 </w:t>
      </w:r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>Workers’ Compensation Act</w:t>
      </w: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 Defence - </w:t>
      </w:r>
      <w:r w:rsidRPr="00E91655">
        <w:rPr>
          <w:rFonts w:ascii="Arial" w:eastAsiaTheme="minorEastAsia" w:hAnsi="Arial" w:cs="Arial"/>
          <w:i/>
          <w:sz w:val="24"/>
          <w:szCs w:val="20"/>
        </w:rPr>
        <w:t xml:space="preserve">Dhaliwal v. City of Richmond </w:t>
      </w:r>
      <w:r w:rsidRPr="00E91655">
        <w:rPr>
          <w:rFonts w:ascii="Arial" w:eastAsiaTheme="minorEastAsia" w:hAnsi="Arial" w:cs="Arial"/>
          <w:sz w:val="24"/>
          <w:szCs w:val="20"/>
        </w:rPr>
        <w:t xml:space="preserve">(WCAT) / </w:t>
      </w:r>
      <w:r w:rsidRPr="00E91655">
        <w:rPr>
          <w:rFonts w:ascii="Arial" w:eastAsiaTheme="minorEastAsia" w:hAnsi="Arial" w:cs="Arial"/>
          <w:i/>
          <w:sz w:val="24"/>
          <w:szCs w:val="20"/>
        </w:rPr>
        <w:t xml:space="preserve">(A1600870 (Re), 2017 </w:t>
      </w:r>
      <w:proofErr w:type="spellStart"/>
      <w:r w:rsidRPr="00E91655">
        <w:rPr>
          <w:rFonts w:ascii="Arial" w:eastAsiaTheme="minorEastAsia" w:hAnsi="Arial" w:cs="Arial"/>
          <w:i/>
          <w:sz w:val="24"/>
          <w:szCs w:val="20"/>
        </w:rPr>
        <w:t>CanLII</w:t>
      </w:r>
      <w:proofErr w:type="spellEnd"/>
      <w:r w:rsidRPr="00E91655">
        <w:rPr>
          <w:rFonts w:ascii="Arial" w:eastAsiaTheme="minorEastAsia" w:hAnsi="Arial" w:cs="Arial"/>
          <w:i/>
          <w:sz w:val="24"/>
          <w:szCs w:val="20"/>
        </w:rPr>
        <w:t xml:space="preserve"> 53435</w:t>
      </w:r>
      <w:r w:rsidRPr="00E91655">
        <w:rPr>
          <w:rFonts w:ascii="Arial" w:eastAsiaTheme="minorEastAsia" w:hAnsi="Arial" w:cs="Arial"/>
          <w:i/>
          <w:sz w:val="24"/>
          <w:szCs w:val="20"/>
          <w:lang w:val="en-CA"/>
        </w:rPr>
        <w:t xml:space="preserve"> </w:t>
      </w:r>
      <w:r w:rsidRPr="00E91655">
        <w:rPr>
          <w:rFonts w:ascii="Arial" w:eastAsiaTheme="minorEastAsia" w:hAnsi="Arial" w:cs="Arial"/>
          <w:i/>
          <w:sz w:val="24"/>
          <w:szCs w:val="20"/>
        </w:rPr>
        <w:t>(BC WCAT))</w:t>
      </w:r>
    </w:p>
    <w:p w:rsidR="00E91655" w:rsidRPr="00E91655" w:rsidRDefault="00E91655" w:rsidP="00E91655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0"/>
          <w:numId w:val="1"/>
        </w:numPr>
        <w:tabs>
          <w:tab w:val="clear" w:pos="360"/>
          <w:tab w:val="left" w:pos="342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Limitation Periods - </w:t>
      </w:r>
      <w:r w:rsidRPr="00E91655">
        <w:rPr>
          <w:rFonts w:ascii="Arial" w:eastAsiaTheme="minorEastAsia" w:hAnsi="Arial" w:cs="Arial"/>
          <w:i/>
          <w:sz w:val="24"/>
          <w:szCs w:val="20"/>
          <w:lang w:val="en-CA"/>
        </w:rPr>
        <w:t xml:space="preserve">Bell v. Wigmore, </w:t>
      </w:r>
      <w:r w:rsidRPr="00E91655">
        <w:rPr>
          <w:rFonts w:ascii="Arial" w:eastAsiaTheme="minorEastAsia" w:hAnsi="Arial" w:cs="Arial"/>
          <w:sz w:val="24"/>
          <w:szCs w:val="20"/>
          <w:lang w:val="en-CA"/>
        </w:rPr>
        <w:t>2017 BCCA 82</w:t>
      </w:r>
    </w:p>
    <w:p w:rsidR="00E91655" w:rsidRPr="00E91655" w:rsidRDefault="00E91655" w:rsidP="00E91655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0"/>
          <w:numId w:val="1"/>
        </w:numPr>
        <w:tabs>
          <w:tab w:val="clear" w:pos="360"/>
          <w:tab w:val="left" w:pos="342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Inevitable Accidents - </w:t>
      </w:r>
      <w:r w:rsidRPr="00E91655">
        <w:rPr>
          <w:rFonts w:ascii="Arial" w:eastAsiaTheme="minorEastAsia" w:hAnsi="Arial" w:cs="Arial"/>
          <w:i/>
          <w:sz w:val="24"/>
          <w:szCs w:val="20"/>
          <w:lang w:val="en-CA"/>
        </w:rPr>
        <w:t xml:space="preserve">Tran v. </w:t>
      </w:r>
      <w:proofErr w:type="spellStart"/>
      <w:r w:rsidRPr="00E91655">
        <w:rPr>
          <w:rFonts w:ascii="Arial" w:eastAsiaTheme="minorEastAsia" w:hAnsi="Arial" w:cs="Arial"/>
          <w:i/>
          <w:sz w:val="24"/>
          <w:szCs w:val="20"/>
          <w:lang w:val="en-CA"/>
        </w:rPr>
        <w:t>Edbrooke</w:t>
      </w:r>
      <w:proofErr w:type="spellEnd"/>
      <w:r w:rsidRPr="00E91655">
        <w:rPr>
          <w:rFonts w:ascii="Arial" w:eastAsiaTheme="minorEastAsia" w:hAnsi="Arial" w:cs="Arial"/>
          <w:i/>
          <w:sz w:val="24"/>
          <w:szCs w:val="20"/>
          <w:lang w:val="en-CA"/>
        </w:rPr>
        <w:t xml:space="preserve">, </w:t>
      </w:r>
      <w:r w:rsidRPr="00E91655">
        <w:rPr>
          <w:rFonts w:ascii="Arial" w:eastAsiaTheme="minorEastAsia" w:hAnsi="Arial" w:cs="Arial"/>
          <w:sz w:val="24"/>
          <w:szCs w:val="20"/>
          <w:lang w:val="en-CA"/>
        </w:rPr>
        <w:t>2013 BCSC 1802</w:t>
      </w:r>
    </w:p>
    <w:p w:rsidR="00E91655" w:rsidRPr="00E91655" w:rsidRDefault="00E91655" w:rsidP="00E91655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0"/>
          <w:numId w:val="1"/>
        </w:numPr>
        <w:tabs>
          <w:tab w:val="clear" w:pos="360"/>
          <w:tab w:val="left" w:pos="342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Contributory negligence: </w:t>
      </w:r>
      <w:proofErr w:type="spellStart"/>
      <w:r w:rsidRPr="00E91655">
        <w:rPr>
          <w:rFonts w:ascii="Arial" w:eastAsiaTheme="minorEastAsia" w:hAnsi="Arial" w:cs="Arial"/>
          <w:b/>
          <w:bCs/>
          <w:i/>
          <w:iCs/>
          <w:lang w:val="en-CA"/>
        </w:rPr>
        <w:t>Uy</w:t>
      </w:r>
      <w:proofErr w:type="spellEnd"/>
      <w:r w:rsidRPr="00E91655">
        <w:rPr>
          <w:rFonts w:ascii="Arial" w:eastAsiaTheme="minorEastAsia" w:hAnsi="Arial" w:cs="Arial"/>
          <w:b/>
          <w:bCs/>
          <w:i/>
          <w:iCs/>
          <w:lang w:val="en-CA"/>
        </w:rPr>
        <w:t xml:space="preserve"> v. Dhillon, </w:t>
      </w:r>
      <w:hyperlink r:id="rId23" w:history="1">
        <w:r w:rsidRPr="00E91655">
          <w:rPr>
            <w:rFonts w:ascii="Arial" w:eastAsiaTheme="minorEastAsia" w:hAnsi="Arial" w:cs="Arial"/>
            <w:b/>
            <w:bCs/>
            <w:i/>
            <w:iCs/>
            <w:color w:val="0000FF"/>
            <w:u w:val="single"/>
            <w:lang w:val="en-CA"/>
          </w:rPr>
          <w:t xml:space="preserve">2020 BCSC 1302 </w:t>
        </w:r>
      </w:hyperlink>
    </w:p>
    <w:p w:rsidR="00E91655" w:rsidRPr="00E91655" w:rsidRDefault="00E91655" w:rsidP="00E91655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en-CA"/>
        </w:rPr>
      </w:pPr>
    </w:p>
    <w:p w:rsidR="00E91655" w:rsidRPr="00E91655" w:rsidRDefault="00E91655" w:rsidP="00E91655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W</w:t>
      </w:r>
      <w:r w:rsidRPr="00E91655">
        <w:rPr>
          <w:rFonts w:ascii="Arial" w:eastAsiaTheme="minorEastAsia" w:hAnsi="Arial" w:cs="Arial"/>
          <w:b/>
          <w:bCs/>
          <w:spacing w:val="-1"/>
          <w:position w:val="-1"/>
          <w:sz w:val="24"/>
          <w:szCs w:val="24"/>
          <w:lang w:val="en-CA"/>
        </w:rPr>
        <w:t>EE</w:t>
      </w:r>
      <w:r w:rsidRPr="00E91655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K</w:t>
      </w:r>
      <w:r w:rsidRPr="00E91655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 xml:space="preserve"> </w:t>
      </w:r>
      <w:r w:rsidRPr="00E91655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7</w:t>
      </w:r>
      <w:r w:rsidRPr="00E91655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 xml:space="preserve">: March 1, 2021 </w:t>
      </w:r>
      <w:r w:rsidRPr="00E91655">
        <w:rPr>
          <w:rFonts w:ascii="Arial" w:eastAsiaTheme="minorEastAsia" w:hAnsi="Arial" w:cs="Arial"/>
          <w:b/>
          <w:sz w:val="24"/>
          <w:szCs w:val="24"/>
          <w:lang w:val="en-CA"/>
        </w:rPr>
        <w:t xml:space="preserve">– Pre-trial strategy and procedures </w:t>
      </w:r>
    </w:p>
    <w:p w:rsidR="00E91655" w:rsidRPr="00E91655" w:rsidRDefault="00E91655" w:rsidP="00E91655">
      <w:pPr>
        <w:tabs>
          <w:tab w:val="left" w:pos="342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Developing themes for the plaintiff’s case: </w:t>
      </w:r>
      <w:r w:rsidRPr="00E91655">
        <w:rPr>
          <w:rFonts w:ascii="Arial" w:eastAsiaTheme="minorEastAsia" w:hAnsi="Arial" w:cs="Arial"/>
          <w:lang w:val="en-CA"/>
        </w:rPr>
        <w:t xml:space="preserve">Ball, David. </w:t>
      </w:r>
      <w:r w:rsidRPr="00E91655">
        <w:rPr>
          <w:rFonts w:ascii="Arial" w:eastAsiaTheme="minorEastAsia" w:hAnsi="Arial" w:cs="Arial"/>
          <w:i/>
          <w:lang w:val="en-CA"/>
        </w:rPr>
        <w:t>David Ball on Damages</w:t>
      </w:r>
      <w:r w:rsidRPr="00E91655">
        <w:rPr>
          <w:rFonts w:ascii="Arial" w:eastAsiaTheme="minorEastAsia" w:hAnsi="Arial" w:cs="Arial"/>
          <w:lang w:val="en-CA"/>
        </w:rPr>
        <w:t>. 3</w:t>
      </w:r>
      <w:r w:rsidRPr="00E91655">
        <w:rPr>
          <w:rFonts w:ascii="Arial" w:eastAsiaTheme="minorEastAsia" w:hAnsi="Arial" w:cs="Arial"/>
          <w:vertAlign w:val="superscript"/>
          <w:lang w:val="en-CA"/>
        </w:rPr>
        <w:t>rd</w:t>
      </w:r>
      <w:r w:rsidRPr="00E91655">
        <w:rPr>
          <w:rFonts w:ascii="Arial" w:eastAsiaTheme="minorEastAsia" w:hAnsi="Arial" w:cs="Arial"/>
          <w:lang w:val="en-CA"/>
        </w:rPr>
        <w:t xml:space="preserve"> ed. National Institute for Trial Advocacy, 2011 – select chapters.</w:t>
      </w:r>
    </w:p>
    <w:p w:rsidR="00E91655" w:rsidRPr="00E91655" w:rsidRDefault="00E91655" w:rsidP="00E91655">
      <w:pPr>
        <w:tabs>
          <w:tab w:val="left" w:pos="342"/>
        </w:tabs>
        <w:spacing w:after="0" w:line="240" w:lineRule="auto"/>
        <w:ind w:left="306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0"/>
          <w:numId w:val="6"/>
        </w:num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Interviewing the plaintiff and investigating the claim. </w:t>
      </w:r>
    </w:p>
    <w:p w:rsidR="00E91655" w:rsidRPr="00E91655" w:rsidRDefault="00E91655" w:rsidP="00E91655">
      <w:pPr>
        <w:tabs>
          <w:tab w:val="left" w:pos="342"/>
        </w:tabs>
        <w:spacing w:after="0" w:line="240" w:lineRule="auto"/>
        <w:ind w:left="306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Discovery of documents and gathering the evidence required to prove your claim: Harris, Lyle G, </w:t>
      </w:r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>Discovery Practice in British Columbia</w:t>
      </w:r>
      <w:r w:rsidRPr="00E91655">
        <w:rPr>
          <w:rFonts w:ascii="Arial" w:eastAsiaTheme="minorEastAsia" w:hAnsi="Arial" w:cs="Arial"/>
          <w:sz w:val="24"/>
          <w:szCs w:val="24"/>
          <w:lang w:val="en-CA"/>
        </w:rPr>
        <w:t>, 2</w:t>
      </w:r>
      <w:r w:rsidRPr="00E91655">
        <w:rPr>
          <w:rFonts w:ascii="Arial" w:eastAsiaTheme="minorEastAsia" w:hAnsi="Arial" w:cs="Arial"/>
          <w:sz w:val="24"/>
          <w:szCs w:val="24"/>
          <w:vertAlign w:val="superscript"/>
          <w:lang w:val="en-CA"/>
        </w:rPr>
        <w:t>nd</w:t>
      </w: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 ed. Continuing Legal Education Society of BC, 2009; </w:t>
      </w:r>
      <w:proofErr w:type="spellStart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>Biehl</w:t>
      </w:r>
      <w:proofErr w:type="spellEnd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 xml:space="preserve"> v. </w:t>
      </w:r>
      <w:proofErr w:type="spellStart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>Strang</w:t>
      </w:r>
      <w:proofErr w:type="spellEnd"/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 2010 BCSC 1391.</w:t>
      </w:r>
    </w:p>
    <w:p w:rsidR="00E91655" w:rsidRPr="00E91655" w:rsidRDefault="00E91655" w:rsidP="00E91655">
      <w:pPr>
        <w:tabs>
          <w:tab w:val="left" w:pos="342"/>
        </w:tabs>
        <w:spacing w:after="0" w:line="240" w:lineRule="auto"/>
        <w:ind w:left="306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0"/>
          <w:numId w:val="6"/>
        </w:num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Examination for discovery: Harris, Lyle G, </w:t>
      </w:r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>Discovery Practice in British Columbia</w:t>
      </w:r>
      <w:r w:rsidRPr="00E91655">
        <w:rPr>
          <w:rFonts w:ascii="Arial" w:eastAsiaTheme="minorEastAsia" w:hAnsi="Arial" w:cs="Arial"/>
          <w:sz w:val="24"/>
          <w:szCs w:val="24"/>
          <w:lang w:val="en-CA"/>
        </w:rPr>
        <w:t>, 2</w:t>
      </w:r>
      <w:r w:rsidRPr="00E91655">
        <w:rPr>
          <w:rFonts w:ascii="Arial" w:eastAsiaTheme="minorEastAsia" w:hAnsi="Arial" w:cs="Arial"/>
          <w:sz w:val="24"/>
          <w:szCs w:val="24"/>
          <w:vertAlign w:val="superscript"/>
          <w:lang w:val="en-CA"/>
        </w:rPr>
        <w:t>nd</w:t>
      </w: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 ed. Continuing Legal Education Society of BC, 2009; </w:t>
      </w:r>
      <w:proofErr w:type="spellStart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>Colbeck</w:t>
      </w:r>
      <w:proofErr w:type="spellEnd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 xml:space="preserve"> v. Kaila et al</w:t>
      </w:r>
      <w:r w:rsidRPr="00E91655">
        <w:rPr>
          <w:rFonts w:ascii="Arial" w:eastAsiaTheme="minorEastAsia" w:hAnsi="Arial" w:cs="Arial"/>
          <w:sz w:val="24"/>
          <w:szCs w:val="24"/>
          <w:lang w:val="en-CA"/>
        </w:rPr>
        <w:t>. 2007 BCSC 689.</w:t>
      </w:r>
    </w:p>
    <w:p w:rsidR="00E91655" w:rsidRPr="00E91655" w:rsidRDefault="00E91655" w:rsidP="00E91655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0"/>
          <w:numId w:val="6"/>
        </w:num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>Pre-trial case management: applications, case planning and trial management.</w:t>
      </w:r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 xml:space="preserve"> British Columbia Civil Trial Handbook</w:t>
      </w:r>
      <w:r w:rsidRPr="00E91655">
        <w:rPr>
          <w:rFonts w:ascii="Arial" w:eastAsiaTheme="minorEastAsia" w:hAnsi="Arial" w:cs="Arial"/>
          <w:sz w:val="24"/>
          <w:szCs w:val="24"/>
          <w:lang w:val="en-CA"/>
        </w:rPr>
        <w:t>, 3</w:t>
      </w:r>
      <w:r w:rsidRPr="00E91655">
        <w:rPr>
          <w:rFonts w:ascii="Arial" w:eastAsiaTheme="minorEastAsia" w:hAnsi="Arial" w:cs="Arial"/>
          <w:sz w:val="24"/>
          <w:szCs w:val="24"/>
          <w:vertAlign w:val="superscript"/>
          <w:lang w:val="en-CA"/>
        </w:rPr>
        <w:t>rd</w:t>
      </w: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 ed. Continuing Legal Education Society of BC, 2010 – select chapters.</w:t>
      </w:r>
    </w:p>
    <w:p w:rsidR="00E91655" w:rsidRPr="00E91655" w:rsidRDefault="00E91655" w:rsidP="00E91655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val="en-CA"/>
        </w:rPr>
      </w:pPr>
    </w:p>
    <w:p w:rsidR="00E91655" w:rsidRPr="00E91655" w:rsidRDefault="00E91655" w:rsidP="00E91655">
      <w:pPr>
        <w:numPr>
          <w:ilvl w:val="0"/>
          <w:numId w:val="6"/>
        </w:num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>Client management</w:t>
      </w:r>
    </w:p>
    <w:p w:rsidR="00E91655" w:rsidRPr="00E91655" w:rsidRDefault="00E91655" w:rsidP="00E91655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0"/>
          <w:numId w:val="6"/>
        </w:num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>The difficult client and getting off the record.</w:t>
      </w:r>
    </w:p>
    <w:p w:rsidR="00E91655" w:rsidRPr="00E91655" w:rsidRDefault="00E91655" w:rsidP="00E91655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val="en-CA"/>
        </w:rPr>
      </w:pPr>
    </w:p>
    <w:p w:rsidR="00E91655" w:rsidRPr="00E91655" w:rsidRDefault="00E91655" w:rsidP="00E91655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val="en-CA"/>
        </w:rPr>
      </w:pPr>
    </w:p>
    <w:p w:rsidR="00E91655" w:rsidRPr="00E91655" w:rsidRDefault="00E91655" w:rsidP="00E91655">
      <w:pPr>
        <w:keepNext/>
        <w:keepLines/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W</w:t>
      </w:r>
      <w:r w:rsidRPr="00E91655">
        <w:rPr>
          <w:rFonts w:ascii="Arial" w:eastAsiaTheme="minorEastAsia" w:hAnsi="Arial" w:cs="Arial"/>
          <w:b/>
          <w:bCs/>
          <w:spacing w:val="-1"/>
          <w:position w:val="-1"/>
          <w:sz w:val="24"/>
          <w:szCs w:val="24"/>
          <w:lang w:val="en-CA"/>
        </w:rPr>
        <w:t>EE</w:t>
      </w:r>
      <w:r w:rsidRPr="00E91655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K</w:t>
      </w:r>
      <w:r w:rsidRPr="00E91655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 xml:space="preserve"> </w:t>
      </w:r>
      <w:r w:rsidRPr="00E91655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8</w:t>
      </w:r>
      <w:r w:rsidRPr="00E91655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 xml:space="preserve">: March 8, 2021 </w:t>
      </w:r>
      <w:r w:rsidRPr="00E91655">
        <w:rPr>
          <w:rFonts w:ascii="Arial" w:eastAsiaTheme="minorEastAsia" w:hAnsi="Arial" w:cs="Arial"/>
          <w:b/>
          <w:sz w:val="24"/>
          <w:szCs w:val="24"/>
          <w:lang w:val="en-CA"/>
        </w:rPr>
        <w:t>- Experts</w:t>
      </w:r>
    </w:p>
    <w:p w:rsidR="00E91655" w:rsidRPr="00E91655" w:rsidRDefault="00E91655" w:rsidP="00E91655">
      <w:pPr>
        <w:tabs>
          <w:tab w:val="left" w:pos="342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0"/>
          <w:numId w:val="7"/>
        </w:numPr>
        <w:tabs>
          <w:tab w:val="left" w:pos="342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The scope of expert evidence – excerpts from </w:t>
      </w:r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>Expert Evidence in British Columbia Proceedings, 3</w:t>
      </w:r>
      <w:r w:rsidRPr="00E91655">
        <w:rPr>
          <w:rFonts w:ascii="Arial" w:eastAsiaTheme="minorEastAsia" w:hAnsi="Arial" w:cs="Arial"/>
          <w:i/>
          <w:sz w:val="24"/>
          <w:szCs w:val="24"/>
          <w:vertAlign w:val="superscript"/>
          <w:lang w:val="en-CA"/>
        </w:rPr>
        <w:t>rd</w:t>
      </w:r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 xml:space="preserve"> ed. Continuing Legal Education Society of BC, 2011.</w:t>
      </w:r>
    </w:p>
    <w:p w:rsidR="00E91655" w:rsidRPr="00E91655" w:rsidRDefault="00E91655" w:rsidP="00E91655">
      <w:p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0"/>
          <w:numId w:val="7"/>
        </w:numPr>
        <w:tabs>
          <w:tab w:val="left" w:pos="342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Strategic use of experts – which experts and why? </w:t>
      </w:r>
    </w:p>
    <w:p w:rsidR="00E91655" w:rsidRPr="00E91655" w:rsidRDefault="00E91655" w:rsidP="00E91655">
      <w:p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0"/>
          <w:numId w:val="7"/>
        </w:numPr>
        <w:tabs>
          <w:tab w:val="left" w:pos="342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>Rule 11 of the Civil Rules of Court – case planning and applications for experts; timing of expert reports; disclosure obligations; notice of objections; expert evidence at trial.</w:t>
      </w:r>
    </w:p>
    <w:p w:rsidR="00E91655" w:rsidRPr="00E91655" w:rsidRDefault="00E91655" w:rsidP="00E91655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0"/>
          <w:numId w:val="7"/>
        </w:numPr>
        <w:tabs>
          <w:tab w:val="left" w:pos="342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Admissibility of expert reports - </w:t>
      </w:r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>Kazimirski M, The legal and ethical obligations of experts, TLABC December 2010 Conference on Chronic Pain.</w:t>
      </w:r>
    </w:p>
    <w:p w:rsidR="00E91655" w:rsidRPr="00E91655" w:rsidRDefault="00E91655" w:rsidP="00E91655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0"/>
          <w:numId w:val="7"/>
        </w:numPr>
        <w:tabs>
          <w:tab w:val="left" w:pos="342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See also:  </w:t>
      </w:r>
      <w:proofErr w:type="spellStart"/>
      <w:r w:rsidRPr="00E91655">
        <w:rPr>
          <w:rFonts w:ascii="Arial" w:eastAsiaTheme="minorEastAsia" w:hAnsi="Arial" w:cs="Arial"/>
          <w:i/>
          <w:iCs/>
          <w:sz w:val="24"/>
          <w:szCs w:val="24"/>
          <w:lang w:val="en-CA"/>
        </w:rPr>
        <w:t>Uy</w:t>
      </w:r>
      <w:proofErr w:type="spellEnd"/>
      <w:r w:rsidRPr="00E91655">
        <w:rPr>
          <w:rFonts w:ascii="Arial" w:eastAsiaTheme="minorEastAsia" w:hAnsi="Arial" w:cs="Arial"/>
          <w:i/>
          <w:iCs/>
          <w:sz w:val="24"/>
          <w:szCs w:val="24"/>
          <w:lang w:val="en-CA"/>
        </w:rPr>
        <w:t xml:space="preserve"> v. Dhillon,</w:t>
      </w: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  </w:t>
      </w:r>
      <w:hyperlink r:id="rId24" w:history="1">
        <w:r w:rsidRPr="00E91655">
          <w:rPr>
            <w:rFonts w:ascii="Arial" w:eastAsiaTheme="minorEastAsia" w:hAnsi="Arial" w:cs="Arial"/>
            <w:color w:val="0000FF"/>
            <w:sz w:val="24"/>
            <w:szCs w:val="24"/>
            <w:u w:val="single"/>
            <w:lang w:val="en-CA"/>
          </w:rPr>
          <w:t>2019 BCSC 2435</w:t>
        </w:r>
      </w:hyperlink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; and </w:t>
      </w:r>
      <w:r w:rsidRPr="00E91655">
        <w:rPr>
          <w:rFonts w:ascii="Arial" w:eastAsiaTheme="minorEastAsia" w:hAnsi="Arial" w:cs="Arial"/>
          <w:i/>
          <w:iCs/>
          <w:sz w:val="24"/>
          <w:szCs w:val="24"/>
          <w:lang w:val="en-CA"/>
        </w:rPr>
        <w:t xml:space="preserve">Crawford v. </w:t>
      </w:r>
      <w:proofErr w:type="spellStart"/>
      <w:r w:rsidRPr="00E91655">
        <w:rPr>
          <w:rFonts w:ascii="Arial" w:eastAsiaTheme="minorEastAsia" w:hAnsi="Arial" w:cs="Arial"/>
          <w:i/>
          <w:iCs/>
          <w:sz w:val="24"/>
          <w:szCs w:val="24"/>
          <w:lang w:val="en-CA"/>
        </w:rPr>
        <w:t>Nazif</w:t>
      </w:r>
      <w:proofErr w:type="spellEnd"/>
      <w:r w:rsidRPr="00E91655">
        <w:rPr>
          <w:rFonts w:ascii="Arial" w:eastAsiaTheme="minorEastAsia" w:hAnsi="Arial" w:cs="Arial"/>
          <w:i/>
          <w:iCs/>
          <w:sz w:val="24"/>
          <w:szCs w:val="24"/>
          <w:lang w:val="en-CA"/>
        </w:rPr>
        <w:t xml:space="preserve">, </w:t>
      </w:r>
      <w:hyperlink r:id="rId25" w:history="1">
        <w:r w:rsidRPr="00E91655">
          <w:rPr>
            <w:rFonts w:ascii="Arial" w:eastAsiaTheme="minorEastAsia" w:hAnsi="Arial" w:cs="Arial"/>
            <w:color w:val="0000FF"/>
            <w:sz w:val="24"/>
            <w:szCs w:val="24"/>
            <w:u w:val="single"/>
            <w:lang w:val="en-CA"/>
          </w:rPr>
          <w:t>2019 BCSC 2336</w:t>
        </w:r>
      </w:hyperlink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 </w:t>
      </w:r>
    </w:p>
    <w:p w:rsidR="00E91655" w:rsidRPr="00E91655" w:rsidRDefault="00E91655" w:rsidP="00E91655">
      <w:p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b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0"/>
          <w:numId w:val="7"/>
        </w:numPr>
        <w:tabs>
          <w:tab w:val="left" w:pos="342"/>
        </w:tabs>
        <w:spacing w:after="0" w:line="240" w:lineRule="auto"/>
        <w:contextualSpacing/>
        <w:jc w:val="both"/>
        <w:rPr>
          <w:rFonts w:ascii="Arial" w:eastAsiaTheme="minorEastAsia" w:hAnsi="Arial" w:cs="Arial"/>
          <w:b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Cross examination of experts: attacking qualifications, bias, factual assumptions, and the expert’s theory/opinion -  </w:t>
      </w:r>
      <w:proofErr w:type="spellStart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>Fabretti</w:t>
      </w:r>
      <w:proofErr w:type="spellEnd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 xml:space="preserve"> v. Singh</w:t>
      </w: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 excerpt from trial and miscellaneous case examples.</w:t>
      </w:r>
    </w:p>
    <w:p w:rsidR="00E91655" w:rsidRPr="00E91655" w:rsidRDefault="00E91655" w:rsidP="00E91655">
      <w:pPr>
        <w:tabs>
          <w:tab w:val="left" w:pos="342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ab/>
      </w:r>
    </w:p>
    <w:p w:rsidR="00E91655" w:rsidRPr="00E91655" w:rsidRDefault="00E91655" w:rsidP="00E91655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val="en-CA"/>
        </w:rPr>
      </w:pPr>
    </w:p>
    <w:p w:rsidR="00E91655" w:rsidRPr="00E91655" w:rsidRDefault="00E91655" w:rsidP="00E91655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W</w:t>
      </w:r>
      <w:r w:rsidRPr="00E91655">
        <w:rPr>
          <w:rFonts w:ascii="Arial" w:eastAsiaTheme="minorEastAsia" w:hAnsi="Arial" w:cs="Arial"/>
          <w:b/>
          <w:bCs/>
          <w:spacing w:val="-1"/>
          <w:position w:val="-1"/>
          <w:sz w:val="24"/>
          <w:szCs w:val="24"/>
          <w:lang w:val="en-CA"/>
        </w:rPr>
        <w:t>EE</w:t>
      </w:r>
      <w:r w:rsidRPr="00E91655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K</w:t>
      </w:r>
      <w:r w:rsidRPr="00E91655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 xml:space="preserve"> </w:t>
      </w:r>
      <w:r w:rsidRPr="00E91655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9:</w:t>
      </w:r>
      <w:r w:rsidRPr="00E91655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 xml:space="preserve"> March 15, 2021 </w:t>
      </w:r>
      <w:r w:rsidRPr="00E91655">
        <w:rPr>
          <w:rFonts w:ascii="Arial" w:eastAsiaTheme="minorEastAsia" w:hAnsi="Arial" w:cs="Arial"/>
          <w:b/>
          <w:sz w:val="24"/>
          <w:szCs w:val="24"/>
          <w:lang w:val="en-CA"/>
        </w:rPr>
        <w:t>– Opening and Closing Statements</w:t>
      </w:r>
    </w:p>
    <w:p w:rsidR="00E91655" w:rsidRPr="00E91655" w:rsidRDefault="00E91655" w:rsidP="00E9165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>Different strategies and limitations for opening and closing statements in Judge versus Jury trials.</w:t>
      </w:r>
    </w:p>
    <w:p w:rsidR="00E91655" w:rsidRPr="00E91655" w:rsidRDefault="00E91655" w:rsidP="00E91655">
      <w:pPr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Boundaries of openings - telling the plaintiff’s story and anticipating the defendant’s theory of the case: </w:t>
      </w:r>
      <w:proofErr w:type="spellStart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>Knauf</w:t>
      </w:r>
      <w:proofErr w:type="spellEnd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 xml:space="preserve"> v. Chao, </w:t>
      </w:r>
      <w:r w:rsidRPr="00E91655">
        <w:rPr>
          <w:rFonts w:ascii="Arial" w:eastAsiaTheme="minorEastAsia" w:hAnsi="Arial" w:cs="Arial"/>
          <w:sz w:val="24"/>
          <w:szCs w:val="24"/>
          <w:lang w:val="en-CA"/>
        </w:rPr>
        <w:t>2009 BCCA 605</w:t>
      </w:r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 xml:space="preserve">; </w:t>
      </w:r>
      <w:proofErr w:type="spellStart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>Brophy</w:t>
      </w:r>
      <w:proofErr w:type="spellEnd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 xml:space="preserve"> v. Hutchinson</w:t>
      </w: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 [2003] B.C.J. No. 47 (C.A.); </w:t>
      </w:r>
      <w:proofErr w:type="spellStart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>Moskaleva</w:t>
      </w:r>
      <w:proofErr w:type="spellEnd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 xml:space="preserve"> v. Laurie</w:t>
      </w: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, 2009 BCCA 260. Use of demonstrative evidence - </w:t>
      </w:r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 xml:space="preserve">Moore v. </w:t>
      </w:r>
      <w:proofErr w:type="spellStart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>Kyba</w:t>
      </w:r>
      <w:proofErr w:type="spellEnd"/>
      <w:r w:rsidRPr="00E91655">
        <w:rPr>
          <w:rFonts w:ascii="Arial" w:eastAsiaTheme="minorEastAsia" w:hAnsi="Arial" w:cs="Arial"/>
          <w:sz w:val="24"/>
          <w:szCs w:val="24"/>
          <w:lang w:val="en-CA"/>
        </w:rPr>
        <w:t>, 2011 BCSC.</w:t>
      </w:r>
    </w:p>
    <w:p w:rsidR="00E91655" w:rsidRPr="00E91655" w:rsidRDefault="00E91655" w:rsidP="00E91655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Boundaries of closing statements - </w:t>
      </w:r>
      <w:proofErr w:type="spellStart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>Cahoon</w:t>
      </w:r>
      <w:proofErr w:type="spellEnd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 xml:space="preserve"> v. </w:t>
      </w:r>
      <w:proofErr w:type="spellStart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>Brideaux</w:t>
      </w:r>
      <w:proofErr w:type="spellEnd"/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, 2010 BCCA 228; </w:t>
      </w:r>
      <w:proofErr w:type="spellStart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>Giang</w:t>
      </w:r>
      <w:proofErr w:type="spellEnd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 xml:space="preserve"> v. Clayton</w:t>
      </w: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 [2005] B.C.J. No. 163 (C.A.); </w:t>
      </w:r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>de Araujo v. Read</w:t>
      </w: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 [2004] B.C.J. No. 963 (C.A.); </w:t>
      </w:r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 xml:space="preserve">Walker v. John Doe and ICBC, </w:t>
      </w:r>
      <w:r w:rsidRPr="00E91655">
        <w:rPr>
          <w:rFonts w:ascii="Arial" w:eastAsiaTheme="minorEastAsia" w:hAnsi="Arial" w:cs="Arial"/>
          <w:sz w:val="24"/>
          <w:szCs w:val="24"/>
          <w:lang w:val="en-CA"/>
        </w:rPr>
        <w:t>2012Vancouver Registry, Docket MO85239.</w:t>
      </w:r>
    </w:p>
    <w:p w:rsidR="00E91655" w:rsidRPr="00E91655" w:rsidRDefault="00E91655" w:rsidP="00E91655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>Keys to effective delivery: natural speaking, charisma, and the use of 3s.</w:t>
      </w:r>
    </w:p>
    <w:p w:rsidR="00E91655" w:rsidRPr="00E91655" w:rsidRDefault="00E91655" w:rsidP="00E91655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Psychology of persuasion (how far is too far in an opening statement) - </w:t>
      </w:r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 xml:space="preserve">Aberdeen v. Langley (Township), </w:t>
      </w:r>
      <w:r w:rsidRPr="00E91655">
        <w:rPr>
          <w:rFonts w:ascii="Arial" w:eastAsiaTheme="minorEastAsia" w:hAnsi="Arial" w:cs="Arial"/>
          <w:sz w:val="24"/>
          <w:szCs w:val="24"/>
          <w:lang w:val="en-CA"/>
        </w:rPr>
        <w:t>2006 BCSC 2062 - case example involving inflammatory opening statement.</w:t>
      </w:r>
    </w:p>
    <w:p w:rsidR="00E91655" w:rsidRPr="00E91655" w:rsidRDefault="00E91655" w:rsidP="00E91655">
      <w:pPr>
        <w:tabs>
          <w:tab w:val="left" w:pos="342"/>
        </w:tabs>
        <w:spacing w:after="0" w:line="240" w:lineRule="auto"/>
        <w:jc w:val="both"/>
        <w:rPr>
          <w:rFonts w:ascii="Arial" w:eastAsiaTheme="minorEastAsia" w:hAnsi="Arial" w:cs="Arial"/>
          <w:i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ab/>
      </w:r>
    </w:p>
    <w:p w:rsidR="00E91655" w:rsidRPr="00E91655" w:rsidRDefault="00E91655" w:rsidP="00E91655">
      <w:pPr>
        <w:spacing w:after="0" w:line="240" w:lineRule="auto"/>
        <w:ind w:left="360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ab/>
      </w:r>
    </w:p>
    <w:p w:rsidR="00E91655" w:rsidRPr="00E91655" w:rsidRDefault="00E91655" w:rsidP="00E91655">
      <w:pPr>
        <w:keepNext/>
        <w:keepLines/>
        <w:spacing w:after="240" w:line="240" w:lineRule="auto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W</w:t>
      </w:r>
      <w:r w:rsidRPr="00E91655">
        <w:rPr>
          <w:rFonts w:ascii="Arial" w:eastAsiaTheme="minorEastAsia" w:hAnsi="Arial" w:cs="Arial"/>
          <w:b/>
          <w:bCs/>
          <w:spacing w:val="-1"/>
          <w:position w:val="-1"/>
          <w:sz w:val="24"/>
          <w:szCs w:val="24"/>
          <w:lang w:val="en-CA"/>
        </w:rPr>
        <w:t>EE</w:t>
      </w:r>
      <w:r w:rsidRPr="00E91655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K</w:t>
      </w:r>
      <w:r w:rsidRPr="00E91655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 xml:space="preserve"> </w:t>
      </w:r>
      <w:r w:rsidRPr="00E91655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10:</w:t>
      </w:r>
      <w:r w:rsidRPr="00E91655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 xml:space="preserve"> March 22, 2021 </w:t>
      </w:r>
      <w:r w:rsidRPr="00E91655">
        <w:rPr>
          <w:rFonts w:ascii="Arial" w:eastAsiaTheme="minorEastAsia" w:hAnsi="Arial" w:cs="Arial"/>
          <w:b/>
          <w:sz w:val="24"/>
          <w:szCs w:val="24"/>
          <w:lang w:val="en-CA"/>
        </w:rPr>
        <w:t>– Evidence at Trial</w:t>
      </w:r>
    </w:p>
    <w:p w:rsidR="00E91655" w:rsidRPr="00E91655" w:rsidRDefault="00E91655" w:rsidP="00E91655">
      <w:pPr>
        <w:numPr>
          <w:ilvl w:val="0"/>
          <w:numId w:val="9"/>
        </w:num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The different types of evidence in a civil trial: oral evidence (testimony), admissions, read-ins, documents, photographs and videos, objects, etc… excerpts from </w:t>
      </w:r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>Introducing Evidence at Trial, 2</w:t>
      </w:r>
      <w:r w:rsidRPr="00E91655">
        <w:rPr>
          <w:rFonts w:ascii="Arial" w:eastAsiaTheme="minorEastAsia" w:hAnsi="Arial" w:cs="Arial"/>
          <w:i/>
          <w:sz w:val="24"/>
          <w:szCs w:val="24"/>
          <w:vertAlign w:val="superscript"/>
          <w:lang w:val="en-CA"/>
        </w:rPr>
        <w:t>rd</w:t>
      </w:r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 xml:space="preserve"> ed. Continuing Legal Education Society of BC, 2012.</w:t>
      </w:r>
    </w:p>
    <w:p w:rsidR="00E91655" w:rsidRPr="00E91655" w:rsidRDefault="00E91655" w:rsidP="00E91655">
      <w:pPr>
        <w:spacing w:after="0" w:line="240" w:lineRule="auto"/>
        <w:ind w:left="36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0"/>
          <w:numId w:val="9"/>
        </w:num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>Basic concepts on the law of evidence – excerpts from</w:t>
      </w:r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 xml:space="preserve"> </w:t>
      </w:r>
      <w:proofErr w:type="spellStart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>Sopinka</w:t>
      </w:r>
      <w:proofErr w:type="spellEnd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>, Lederman &amp; Bryant, The Law of Evidence in Canada, 4</w:t>
      </w:r>
      <w:r w:rsidRPr="00E91655">
        <w:rPr>
          <w:rFonts w:ascii="Arial" w:eastAsiaTheme="minorEastAsia" w:hAnsi="Arial" w:cs="Arial"/>
          <w:i/>
          <w:sz w:val="24"/>
          <w:szCs w:val="24"/>
          <w:vertAlign w:val="superscript"/>
          <w:lang w:val="en-CA"/>
        </w:rPr>
        <w:t>th</w:t>
      </w:r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 xml:space="preserve"> </w:t>
      </w:r>
      <w:proofErr w:type="spellStart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>ed</w:t>
      </w:r>
      <w:proofErr w:type="spellEnd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 xml:space="preserve">, LexisNexis </w:t>
      </w:r>
      <w:proofErr w:type="spellStart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>Butterworths</w:t>
      </w:r>
      <w:proofErr w:type="spellEnd"/>
      <w:r w:rsidRPr="00E91655">
        <w:rPr>
          <w:rFonts w:ascii="Arial" w:eastAsiaTheme="minorEastAsia" w:hAnsi="Arial" w:cs="Arial"/>
          <w:i/>
          <w:sz w:val="24"/>
          <w:szCs w:val="24"/>
          <w:lang w:val="en-CA"/>
        </w:rPr>
        <w:t xml:space="preserve"> Canada.</w:t>
      </w:r>
    </w:p>
    <w:p w:rsidR="00E91655" w:rsidRPr="00E91655" w:rsidRDefault="00E91655" w:rsidP="00E91655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1"/>
          <w:numId w:val="9"/>
        </w:num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See </w:t>
      </w:r>
      <w:r w:rsidRPr="00E91655">
        <w:rPr>
          <w:rFonts w:ascii="Arial" w:eastAsiaTheme="minorEastAsia" w:hAnsi="Arial" w:cs="Arial"/>
          <w:i/>
          <w:iCs/>
          <w:sz w:val="24"/>
          <w:szCs w:val="24"/>
          <w:lang w:val="en-CA"/>
        </w:rPr>
        <w:t xml:space="preserve">Crawford v. </w:t>
      </w:r>
      <w:proofErr w:type="spellStart"/>
      <w:r w:rsidRPr="00E91655">
        <w:rPr>
          <w:rFonts w:ascii="Arial" w:eastAsiaTheme="minorEastAsia" w:hAnsi="Arial" w:cs="Arial"/>
          <w:i/>
          <w:iCs/>
          <w:sz w:val="24"/>
          <w:szCs w:val="24"/>
          <w:lang w:val="en-CA"/>
        </w:rPr>
        <w:t>Nazif</w:t>
      </w:r>
      <w:proofErr w:type="spellEnd"/>
      <w:r w:rsidRPr="00E91655">
        <w:rPr>
          <w:rFonts w:ascii="Arial" w:eastAsiaTheme="minorEastAsia" w:hAnsi="Arial" w:cs="Arial"/>
          <w:i/>
          <w:iCs/>
          <w:sz w:val="24"/>
          <w:szCs w:val="24"/>
          <w:lang w:val="en-CA"/>
        </w:rPr>
        <w:t xml:space="preserve">, </w:t>
      </w:r>
      <w:hyperlink r:id="rId26" w:history="1">
        <w:r w:rsidRPr="00E91655">
          <w:rPr>
            <w:rFonts w:ascii="Arial" w:eastAsiaTheme="minorEastAsia" w:hAnsi="Arial" w:cs="Arial"/>
            <w:color w:val="0000FF"/>
            <w:sz w:val="24"/>
            <w:szCs w:val="24"/>
            <w:u w:val="single"/>
            <w:lang w:val="en-CA"/>
          </w:rPr>
          <w:t xml:space="preserve">2019 BCSC 2337 </w:t>
        </w:r>
      </w:hyperlink>
      <w:r w:rsidRPr="00E91655">
        <w:rPr>
          <w:rFonts w:ascii="Arial" w:eastAsiaTheme="minorEastAsia" w:hAnsi="Arial" w:cs="Arial"/>
          <w:i/>
          <w:iCs/>
          <w:sz w:val="24"/>
          <w:szCs w:val="24"/>
          <w:lang w:val="en-CA"/>
        </w:rPr>
        <w:t xml:space="preserve"> </w:t>
      </w:r>
    </w:p>
    <w:p w:rsidR="00E91655" w:rsidRPr="00E91655" w:rsidRDefault="00E91655" w:rsidP="00E91655">
      <w:pPr>
        <w:spacing w:after="0" w:line="240" w:lineRule="auto"/>
        <w:ind w:left="108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0"/>
          <w:numId w:val="9"/>
        </w:num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>Direct examination of a witness – the difference between lay witnesses and experts; how are questions asked (opened ended questions versus leading questions), hearsay evidence and exceptions, and avoiding adverse inferences.</w:t>
      </w:r>
    </w:p>
    <w:p w:rsidR="00E91655" w:rsidRPr="00E91655" w:rsidRDefault="00E91655" w:rsidP="00E91655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0"/>
          <w:numId w:val="9"/>
        </w:num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>Cross examination of witnesses – pick your battles and know the answer before you ask the question!</w:t>
      </w:r>
    </w:p>
    <w:p w:rsidR="00E91655" w:rsidRPr="00E91655" w:rsidRDefault="00E91655" w:rsidP="00E91655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0"/>
          <w:numId w:val="9"/>
        </w:num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>Redirect of a witness – limits, landmines, and loopholes.</w:t>
      </w:r>
    </w:p>
    <w:p w:rsidR="00E91655" w:rsidRPr="00E91655" w:rsidRDefault="00E91655" w:rsidP="00E91655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0"/>
          <w:numId w:val="9"/>
        </w:num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>Introducing documents (business records, clinical records, tax returns), photographs and videos at trial.</w:t>
      </w:r>
    </w:p>
    <w:p w:rsidR="00E91655" w:rsidRPr="00E91655" w:rsidRDefault="00E91655" w:rsidP="00E91655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0"/>
          <w:numId w:val="9"/>
        </w:num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>Psychology of persuasion: simpler is better when deciding what evidence to adduce at trial.</w:t>
      </w:r>
    </w:p>
    <w:p w:rsidR="00E91655" w:rsidRPr="00E91655" w:rsidRDefault="00E91655" w:rsidP="00E91655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n-CA"/>
        </w:rPr>
      </w:pPr>
    </w:p>
    <w:p w:rsidR="002A0ED4" w:rsidRDefault="00E91655" w:rsidP="00E91655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W</w:t>
      </w:r>
      <w:r w:rsidRPr="00E91655">
        <w:rPr>
          <w:rFonts w:ascii="Arial" w:eastAsiaTheme="minorEastAsia" w:hAnsi="Arial" w:cs="Arial"/>
          <w:b/>
          <w:bCs/>
          <w:spacing w:val="-1"/>
          <w:position w:val="-1"/>
          <w:sz w:val="24"/>
          <w:szCs w:val="24"/>
          <w:lang w:val="en-CA"/>
        </w:rPr>
        <w:t>EE</w:t>
      </w:r>
      <w:r w:rsidRPr="00E91655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K</w:t>
      </w:r>
      <w:r w:rsidRPr="00E91655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 xml:space="preserve"> </w:t>
      </w:r>
      <w:r w:rsidRPr="00E91655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11:</w:t>
      </w:r>
      <w:r w:rsidRPr="00E91655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 xml:space="preserve"> March 29, 2021 </w:t>
      </w:r>
    </w:p>
    <w:p w:rsidR="002A0ED4" w:rsidRDefault="002A0ED4" w:rsidP="00E91655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en-CA"/>
        </w:rPr>
      </w:pPr>
    </w:p>
    <w:p w:rsidR="00E91655" w:rsidRPr="00E91655" w:rsidRDefault="00E91655" w:rsidP="00E91655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b/>
          <w:sz w:val="24"/>
          <w:szCs w:val="24"/>
          <w:lang w:val="en-CA"/>
        </w:rPr>
        <w:t>Post Trial/Settlement Procedures</w:t>
      </w:r>
    </w:p>
    <w:p w:rsidR="00E91655" w:rsidRPr="00E91655" w:rsidRDefault="00E91655" w:rsidP="00E91655">
      <w:pPr>
        <w:tabs>
          <w:tab w:val="left" w:pos="342"/>
        </w:tabs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en-CA"/>
        </w:rPr>
      </w:pPr>
    </w:p>
    <w:p w:rsidR="002A0ED4" w:rsidRDefault="002A0ED4" w:rsidP="00E91655">
      <w:pPr>
        <w:numPr>
          <w:ilvl w:val="0"/>
          <w:numId w:val="8"/>
        </w:numPr>
        <w:tabs>
          <w:tab w:val="left" w:pos="342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Post-judgment interest, tax gross-up, management fee</w:t>
      </w:r>
    </w:p>
    <w:p w:rsidR="002A0ED4" w:rsidRDefault="002A0ED4" w:rsidP="002A0ED4">
      <w:p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0"/>
          <w:numId w:val="8"/>
        </w:numPr>
        <w:tabs>
          <w:tab w:val="left" w:pos="342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>Costs, offers to settle, and taxations.</w:t>
      </w:r>
    </w:p>
    <w:p w:rsidR="00E91655" w:rsidRPr="00E91655" w:rsidRDefault="00E91655" w:rsidP="00E91655">
      <w:p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numPr>
          <w:ilvl w:val="0"/>
          <w:numId w:val="8"/>
        </w:numPr>
        <w:tabs>
          <w:tab w:val="left" w:pos="342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>Public Guardian and Trustee review of infant settlements.</w:t>
      </w:r>
    </w:p>
    <w:p w:rsidR="00E91655" w:rsidRPr="00E91655" w:rsidRDefault="00E91655" w:rsidP="00E91655">
      <w:p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Default="00E91655" w:rsidP="00E91655">
      <w:pPr>
        <w:numPr>
          <w:ilvl w:val="0"/>
          <w:numId w:val="8"/>
        </w:numPr>
        <w:tabs>
          <w:tab w:val="left" w:pos="342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>Appeals of judge versus jury trial judgments.</w:t>
      </w:r>
    </w:p>
    <w:p w:rsidR="002A0ED4" w:rsidRDefault="002A0ED4" w:rsidP="002A0ED4">
      <w:pPr>
        <w:pStyle w:val="ListParagraph"/>
        <w:rPr>
          <w:rFonts w:cs="Arial"/>
          <w:szCs w:val="24"/>
        </w:rPr>
      </w:pPr>
    </w:p>
    <w:p w:rsidR="002A0ED4" w:rsidRPr="002A0ED4" w:rsidRDefault="002A0ED4" w:rsidP="002A0ED4">
      <w:pPr>
        <w:pStyle w:val="ListParagraph"/>
        <w:ind w:left="360"/>
        <w:jc w:val="both"/>
        <w:rPr>
          <w:rFonts w:cs="Arial"/>
          <w:b/>
          <w:bCs/>
          <w:spacing w:val="1"/>
          <w:position w:val="-1"/>
          <w:szCs w:val="24"/>
        </w:rPr>
      </w:pPr>
      <w:r w:rsidRPr="002A0ED4">
        <w:rPr>
          <w:rFonts w:cs="Arial"/>
          <w:b/>
          <w:bCs/>
          <w:spacing w:val="1"/>
          <w:position w:val="-1"/>
          <w:szCs w:val="24"/>
        </w:rPr>
        <w:t xml:space="preserve">Part 7 Benefits, Subrogated First Party Insurers </w:t>
      </w:r>
    </w:p>
    <w:p w:rsidR="002A0ED4" w:rsidRPr="002A0ED4" w:rsidRDefault="002A0ED4" w:rsidP="002A0ED4">
      <w:pPr>
        <w:pStyle w:val="ListParagraph"/>
        <w:ind w:left="360"/>
        <w:jc w:val="both"/>
        <w:rPr>
          <w:rFonts w:cs="Arial"/>
          <w:b/>
          <w:bCs/>
          <w:spacing w:val="1"/>
          <w:position w:val="-1"/>
          <w:szCs w:val="24"/>
        </w:rPr>
      </w:pPr>
    </w:p>
    <w:p w:rsidR="002A0ED4" w:rsidRPr="002A0ED4" w:rsidRDefault="002A0ED4" w:rsidP="002A0ED4">
      <w:pPr>
        <w:pStyle w:val="ListParagraph"/>
        <w:numPr>
          <w:ilvl w:val="0"/>
          <w:numId w:val="8"/>
        </w:numPr>
        <w:jc w:val="both"/>
        <w:rPr>
          <w:rFonts w:cs="Arial"/>
          <w:spacing w:val="1"/>
          <w:position w:val="-1"/>
          <w:szCs w:val="24"/>
        </w:rPr>
      </w:pPr>
      <w:hyperlink r:id="rId27" w:history="1">
        <w:r w:rsidRPr="002A0ED4">
          <w:rPr>
            <w:rFonts w:cs="Arial"/>
            <w:color w:val="0000FF"/>
            <w:spacing w:val="1"/>
            <w:position w:val="-1"/>
            <w:szCs w:val="24"/>
            <w:u w:val="single"/>
          </w:rPr>
          <w:t>https://www.bclaws.gov.bc.ca/civix/document/id/complete/statreg/447_83_07</w:t>
        </w:r>
      </w:hyperlink>
      <w:r w:rsidRPr="002A0ED4">
        <w:rPr>
          <w:rFonts w:cs="Arial"/>
          <w:spacing w:val="1"/>
          <w:position w:val="-1"/>
          <w:szCs w:val="24"/>
        </w:rPr>
        <w:t xml:space="preserve"> </w:t>
      </w:r>
    </w:p>
    <w:p w:rsidR="002A0ED4" w:rsidRPr="002A0ED4" w:rsidRDefault="002A0ED4" w:rsidP="002A0ED4">
      <w:pPr>
        <w:pStyle w:val="ListParagraph"/>
        <w:ind w:left="360"/>
        <w:jc w:val="both"/>
        <w:rPr>
          <w:rFonts w:cs="Arial"/>
          <w:spacing w:val="1"/>
          <w:position w:val="-1"/>
          <w:szCs w:val="24"/>
        </w:rPr>
      </w:pPr>
    </w:p>
    <w:p w:rsidR="002A0ED4" w:rsidRPr="002A0ED4" w:rsidRDefault="002A0ED4" w:rsidP="002A0ED4">
      <w:pPr>
        <w:pStyle w:val="ListParagraph"/>
        <w:numPr>
          <w:ilvl w:val="0"/>
          <w:numId w:val="8"/>
        </w:numPr>
        <w:jc w:val="both"/>
        <w:rPr>
          <w:rFonts w:cs="Arial"/>
          <w:spacing w:val="1"/>
          <w:position w:val="-1"/>
          <w:szCs w:val="24"/>
        </w:rPr>
      </w:pPr>
      <w:r w:rsidRPr="002A0ED4">
        <w:rPr>
          <w:rFonts w:cs="Arial"/>
          <w:spacing w:val="1"/>
          <w:position w:val="-1"/>
          <w:szCs w:val="24"/>
        </w:rPr>
        <w:t xml:space="preserve">Elimination of subrogation rights under the new section 83?  </w:t>
      </w:r>
    </w:p>
    <w:p w:rsidR="002A0ED4" w:rsidRPr="002A0ED4" w:rsidRDefault="002A0ED4" w:rsidP="002A0ED4">
      <w:pPr>
        <w:pStyle w:val="ListParagraph"/>
        <w:ind w:left="360"/>
        <w:jc w:val="both"/>
        <w:rPr>
          <w:rFonts w:cs="Arial"/>
          <w:spacing w:val="1"/>
          <w:position w:val="-1"/>
          <w:szCs w:val="24"/>
        </w:rPr>
      </w:pPr>
    </w:p>
    <w:p w:rsidR="002A0ED4" w:rsidRPr="002A0ED4" w:rsidRDefault="002A0ED4" w:rsidP="002A0ED4">
      <w:pPr>
        <w:pStyle w:val="ListParagraph"/>
        <w:numPr>
          <w:ilvl w:val="0"/>
          <w:numId w:val="8"/>
        </w:numPr>
        <w:jc w:val="both"/>
        <w:rPr>
          <w:rFonts w:cs="Arial"/>
          <w:i/>
          <w:iCs/>
          <w:spacing w:val="1"/>
          <w:position w:val="-1"/>
          <w:szCs w:val="24"/>
        </w:rPr>
      </w:pPr>
      <w:r w:rsidRPr="002A0ED4">
        <w:rPr>
          <w:rFonts w:cs="Arial"/>
          <w:spacing w:val="1"/>
          <w:position w:val="-1"/>
          <w:szCs w:val="24"/>
        </w:rPr>
        <w:t xml:space="preserve">Section 83 deductions, see:  </w:t>
      </w:r>
      <w:r w:rsidRPr="002A0ED4">
        <w:rPr>
          <w:rFonts w:cs="Arial"/>
          <w:i/>
          <w:iCs/>
          <w:spacing w:val="1"/>
          <w:position w:val="-1"/>
          <w:szCs w:val="24"/>
        </w:rPr>
        <w:t xml:space="preserve">Del Bianco v. Yang, </w:t>
      </w:r>
      <w:hyperlink r:id="rId28" w:history="1">
        <w:r w:rsidRPr="002A0ED4">
          <w:rPr>
            <w:rFonts w:cs="Arial"/>
            <w:i/>
            <w:iCs/>
            <w:color w:val="0000FF"/>
            <w:spacing w:val="1"/>
            <w:position w:val="-1"/>
            <w:szCs w:val="24"/>
            <w:u w:val="single"/>
          </w:rPr>
          <w:t>2020 BCSC 410</w:t>
        </w:r>
      </w:hyperlink>
      <w:r w:rsidRPr="002A0ED4">
        <w:rPr>
          <w:rFonts w:cs="Arial"/>
          <w:i/>
          <w:iCs/>
          <w:spacing w:val="1"/>
          <w:position w:val="-1"/>
          <w:szCs w:val="24"/>
        </w:rPr>
        <w:t xml:space="preserve">; </w:t>
      </w:r>
      <w:proofErr w:type="spellStart"/>
      <w:r w:rsidRPr="002A0ED4">
        <w:rPr>
          <w:rFonts w:cs="Arial"/>
          <w:i/>
          <w:iCs/>
          <w:spacing w:val="1"/>
          <w:position w:val="-1"/>
          <w:szCs w:val="24"/>
        </w:rPr>
        <w:t>Silverston</w:t>
      </w:r>
      <w:proofErr w:type="spellEnd"/>
      <w:r w:rsidRPr="002A0ED4">
        <w:rPr>
          <w:rFonts w:cs="Arial"/>
          <w:i/>
          <w:iCs/>
          <w:spacing w:val="1"/>
          <w:position w:val="-1"/>
          <w:szCs w:val="24"/>
        </w:rPr>
        <w:t xml:space="preserve"> v. Griffin, </w:t>
      </w:r>
      <w:hyperlink r:id="rId29" w:history="1">
        <w:r w:rsidRPr="002A0ED4">
          <w:rPr>
            <w:rFonts w:cs="Arial"/>
            <w:i/>
            <w:iCs/>
            <w:color w:val="0000FF"/>
            <w:spacing w:val="1"/>
            <w:position w:val="-1"/>
            <w:szCs w:val="24"/>
            <w:u w:val="single"/>
          </w:rPr>
          <w:t>2020 BCSC 0528</w:t>
        </w:r>
      </w:hyperlink>
      <w:r w:rsidRPr="002A0ED4">
        <w:rPr>
          <w:rFonts w:cs="Arial"/>
          <w:i/>
          <w:iCs/>
          <w:spacing w:val="1"/>
          <w:position w:val="-1"/>
          <w:szCs w:val="24"/>
        </w:rPr>
        <w:t xml:space="preserve"> </w:t>
      </w:r>
    </w:p>
    <w:p w:rsidR="002A0ED4" w:rsidRPr="00E91655" w:rsidRDefault="002A0ED4" w:rsidP="002A0ED4">
      <w:p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:rsidR="00E91655" w:rsidRPr="00E91655" w:rsidRDefault="00E91655" w:rsidP="00E91655">
      <w:pPr>
        <w:spacing w:after="0" w:line="240" w:lineRule="auto"/>
        <w:jc w:val="both"/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</w:pPr>
    </w:p>
    <w:p w:rsidR="002A0ED4" w:rsidRDefault="00E91655" w:rsidP="00E91655">
      <w:pPr>
        <w:spacing w:after="0" w:line="240" w:lineRule="auto"/>
        <w:jc w:val="both"/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 xml:space="preserve">April 5, 2021 – </w:t>
      </w:r>
      <w:r w:rsidR="002A0ED4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>EASTER MONDAY</w:t>
      </w:r>
    </w:p>
    <w:p w:rsidR="002A0ED4" w:rsidRDefault="002A0ED4" w:rsidP="00E91655">
      <w:pPr>
        <w:spacing w:after="0" w:line="240" w:lineRule="auto"/>
        <w:jc w:val="both"/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</w:pPr>
    </w:p>
    <w:p w:rsidR="00E91655" w:rsidRPr="00E91655" w:rsidRDefault="00E91655" w:rsidP="00E91655">
      <w:pPr>
        <w:spacing w:after="0" w:line="240" w:lineRule="auto"/>
        <w:jc w:val="both"/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</w:pPr>
    </w:p>
    <w:p w:rsidR="00E91655" w:rsidRPr="00E91655" w:rsidRDefault="00E91655" w:rsidP="00E91655">
      <w:pPr>
        <w:spacing w:after="0" w:line="240" w:lineRule="auto"/>
        <w:jc w:val="both"/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 xml:space="preserve">April 12, 2021 </w:t>
      </w:r>
      <w:r w:rsidR="002A0ED4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>–</w:t>
      </w:r>
      <w:r w:rsidRPr="00E91655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 xml:space="preserve"> </w:t>
      </w:r>
      <w:r w:rsidR="002A0ED4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>Optional class</w:t>
      </w:r>
      <w:r w:rsidR="000E41DC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 xml:space="preserve">:  </w:t>
      </w:r>
      <w:r w:rsidRPr="00E91655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>Review of Course Materials and Exam Prep</w:t>
      </w:r>
    </w:p>
    <w:p w:rsidR="00E91655" w:rsidRPr="00E91655" w:rsidRDefault="00E91655" w:rsidP="00E91655">
      <w:pPr>
        <w:tabs>
          <w:tab w:val="left" w:pos="342"/>
        </w:tabs>
        <w:spacing w:after="0" w:line="240" w:lineRule="auto"/>
        <w:jc w:val="both"/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</w:pPr>
    </w:p>
    <w:p w:rsidR="00E91655" w:rsidRPr="00E91655" w:rsidRDefault="00E91655" w:rsidP="00E91655">
      <w:pPr>
        <w:tabs>
          <w:tab w:val="left" w:pos="342"/>
        </w:tabs>
        <w:spacing w:after="0" w:line="240" w:lineRule="auto"/>
        <w:jc w:val="center"/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</w:pPr>
    </w:p>
    <w:p w:rsidR="00E91655" w:rsidRPr="00E91655" w:rsidRDefault="00E91655" w:rsidP="00E91655">
      <w:pPr>
        <w:tabs>
          <w:tab w:val="left" w:pos="342"/>
        </w:tabs>
        <w:spacing w:after="0" w:line="240" w:lineRule="auto"/>
        <w:jc w:val="center"/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</w:pPr>
    </w:p>
    <w:p w:rsidR="00E91655" w:rsidRPr="00E91655" w:rsidRDefault="00E91655" w:rsidP="00E91655">
      <w:pPr>
        <w:tabs>
          <w:tab w:val="left" w:pos="342"/>
        </w:tabs>
        <w:spacing w:after="0" w:line="240" w:lineRule="auto"/>
        <w:jc w:val="center"/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>FINAL EXAM:  THURSDAY, APRIL 22, 2021 at 8:50 AM</w:t>
      </w:r>
    </w:p>
    <w:p w:rsidR="00E91655" w:rsidRPr="00E91655" w:rsidRDefault="00E91655" w:rsidP="00E91655">
      <w:pPr>
        <w:tabs>
          <w:tab w:val="left" w:pos="342"/>
        </w:tabs>
        <w:spacing w:after="0" w:line="240" w:lineRule="auto"/>
        <w:jc w:val="center"/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</w:pPr>
    </w:p>
    <w:p w:rsidR="00E91655" w:rsidRPr="00E91655" w:rsidRDefault="00E91655" w:rsidP="00E91655">
      <w:pPr>
        <w:tabs>
          <w:tab w:val="left" w:pos="342"/>
        </w:tabs>
        <w:spacing w:after="0" w:line="240" w:lineRule="auto"/>
        <w:jc w:val="center"/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</w:pPr>
      <w:hyperlink r:id="rId30" w:history="1">
        <w:r w:rsidRPr="00E91655">
          <w:rPr>
            <w:rFonts w:ascii="Arial" w:eastAsiaTheme="minorEastAsia" w:hAnsi="Arial" w:cs="Arial"/>
            <w:b/>
            <w:bCs/>
            <w:color w:val="0000FF"/>
            <w:spacing w:val="1"/>
            <w:position w:val="-1"/>
            <w:sz w:val="24"/>
            <w:szCs w:val="24"/>
            <w:u w:val="single"/>
            <w:lang w:val="en-CA"/>
          </w:rPr>
          <w:t>https://allard.ubc.ca/sites/default/files/2020-11/Exam_Schedule_Spring_2021.pdf</w:t>
        </w:r>
      </w:hyperlink>
      <w:r w:rsidRPr="00E91655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 xml:space="preserve"> </w:t>
      </w:r>
    </w:p>
    <w:p w:rsidR="00E91655" w:rsidRPr="00E91655" w:rsidRDefault="00E91655" w:rsidP="00E91655">
      <w:pPr>
        <w:tabs>
          <w:tab w:val="left" w:pos="342"/>
        </w:tabs>
        <w:spacing w:after="0" w:line="240" w:lineRule="auto"/>
        <w:jc w:val="center"/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</w:pPr>
    </w:p>
    <w:p w:rsidR="00E91655" w:rsidRPr="00E91655" w:rsidRDefault="00E91655" w:rsidP="00E91655">
      <w:pPr>
        <w:tabs>
          <w:tab w:val="left" w:pos="342"/>
        </w:tabs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n-CA"/>
        </w:rPr>
      </w:pPr>
    </w:p>
    <w:p w:rsidR="00286035" w:rsidRDefault="00286035"/>
    <w:sectPr w:rsidR="00286035" w:rsidSect="008F249D">
      <w:footerReference w:type="default" r:id="rId31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CD" w:rsidRDefault="003C7A18">
    <w:pPr>
      <w:pStyle w:val="Footer"/>
      <w:jc w:val="right"/>
    </w:pPr>
    <w:r w:rsidRPr="008F249D">
      <w:rPr>
        <w:rFonts w:ascii="Times New Roman" w:hAnsi="Times New Roman"/>
        <w:sz w:val="22"/>
        <w:szCs w:val="22"/>
      </w:rPr>
      <w:fldChar w:fldCharType="begin"/>
    </w:r>
    <w:r w:rsidRPr="008F249D">
      <w:rPr>
        <w:rFonts w:ascii="Times New Roman" w:hAnsi="Times New Roman"/>
        <w:sz w:val="22"/>
        <w:szCs w:val="22"/>
      </w:rPr>
      <w:instrText xml:space="preserve"> PAGE   \* MERGEFORMAT </w:instrText>
    </w:r>
    <w:r w:rsidRPr="008F249D">
      <w:rPr>
        <w:rFonts w:ascii="Times New Roman" w:hAnsi="Times New Roman"/>
        <w:sz w:val="22"/>
        <w:szCs w:val="22"/>
      </w:rPr>
      <w:fldChar w:fldCharType="separate"/>
    </w:r>
    <w:r w:rsidR="00216E33">
      <w:rPr>
        <w:rFonts w:ascii="Times New Roman" w:hAnsi="Times New Roman"/>
        <w:noProof/>
        <w:sz w:val="22"/>
        <w:szCs w:val="22"/>
      </w:rPr>
      <w:t>8</w:t>
    </w:r>
    <w:r w:rsidRPr="008F249D">
      <w:rPr>
        <w:rFonts w:ascii="Times New Roman" w:hAnsi="Times New Roman"/>
        <w:sz w:val="22"/>
        <w:szCs w:val="22"/>
      </w:rPr>
      <w:fldChar w:fldCharType="end"/>
    </w:r>
  </w:p>
  <w:p w:rsidR="001A65CD" w:rsidRDefault="003C7A18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9B1"/>
    <w:multiLevelType w:val="hybridMultilevel"/>
    <w:tmpl w:val="0E0070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B1C13"/>
    <w:multiLevelType w:val="hybridMultilevel"/>
    <w:tmpl w:val="92F8D6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91729"/>
    <w:multiLevelType w:val="hybridMultilevel"/>
    <w:tmpl w:val="4BBE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63F88"/>
    <w:multiLevelType w:val="hybridMultilevel"/>
    <w:tmpl w:val="FE54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47E"/>
    <w:multiLevelType w:val="hybridMultilevel"/>
    <w:tmpl w:val="A634C2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9B1265"/>
    <w:multiLevelType w:val="hybridMultilevel"/>
    <w:tmpl w:val="D3388F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17349D"/>
    <w:multiLevelType w:val="hybridMultilevel"/>
    <w:tmpl w:val="6422F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A6F3E"/>
    <w:multiLevelType w:val="hybridMultilevel"/>
    <w:tmpl w:val="4E5815B8"/>
    <w:lvl w:ilvl="0" w:tplc="10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 w15:restartNumberingAfterBreak="0">
    <w:nsid w:val="3F414F3D"/>
    <w:multiLevelType w:val="hybridMultilevel"/>
    <w:tmpl w:val="336E55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81426E"/>
    <w:multiLevelType w:val="hybridMultilevel"/>
    <w:tmpl w:val="93547D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BD0CF2"/>
    <w:multiLevelType w:val="hybridMultilevel"/>
    <w:tmpl w:val="97844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415772"/>
    <w:multiLevelType w:val="hybridMultilevel"/>
    <w:tmpl w:val="0048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6266F"/>
    <w:multiLevelType w:val="hybridMultilevel"/>
    <w:tmpl w:val="4CC806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164ED5"/>
    <w:multiLevelType w:val="hybridMultilevel"/>
    <w:tmpl w:val="DC4CE0AE"/>
    <w:lvl w:ilvl="0" w:tplc="5D04CF22">
      <w:numFmt w:val="bullet"/>
      <w:lvlText w:val="•"/>
      <w:lvlJc w:val="left"/>
      <w:pPr>
        <w:ind w:left="1080" w:hanging="720"/>
      </w:pPr>
      <w:rPr>
        <w:rFonts w:ascii="Calibri" w:eastAsiaTheme="minorEastAsia" w:hAnsi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12"/>
  </w:num>
  <w:num w:numId="11">
    <w:abstractNumId w:val="2"/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55"/>
    <w:rsid w:val="000E41DC"/>
    <w:rsid w:val="00216E33"/>
    <w:rsid w:val="00286035"/>
    <w:rsid w:val="002A0ED4"/>
    <w:rsid w:val="00DA30A8"/>
    <w:rsid w:val="00DA5E49"/>
    <w:rsid w:val="00E9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57D16"/>
  <w15:chartTrackingRefBased/>
  <w15:docId w15:val="{64289ADF-CCE2-448A-A96F-CE98127D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91655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E91655"/>
    <w:pPr>
      <w:spacing w:after="0" w:line="240" w:lineRule="auto"/>
      <w:ind w:right="-720"/>
      <w:jc w:val="center"/>
    </w:pPr>
    <w:rPr>
      <w:rFonts w:ascii="Arial" w:eastAsiaTheme="minorEastAsia" w:hAnsi="Arial" w:cs="Arial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E91655"/>
    <w:rPr>
      <w:rFonts w:ascii="Arial" w:eastAsiaTheme="minorEastAsia" w:hAnsi="Arial" w:cs="Arial"/>
      <w:b/>
      <w:sz w:val="36"/>
      <w:szCs w:val="20"/>
    </w:rPr>
  </w:style>
  <w:style w:type="table" w:styleId="TableGrid">
    <w:name w:val="Table Grid"/>
    <w:basedOn w:val="TableNormal"/>
    <w:uiPriority w:val="59"/>
    <w:rsid w:val="00E9165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655"/>
    <w:pPr>
      <w:spacing w:after="0" w:line="240" w:lineRule="auto"/>
      <w:ind w:left="720"/>
      <w:contextualSpacing/>
    </w:pPr>
    <w:rPr>
      <w:rFonts w:ascii="Arial" w:eastAsiaTheme="minorEastAsia" w:hAnsi="Arial" w:cs="Times New Roman"/>
      <w:sz w:val="24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91655"/>
    <w:pPr>
      <w:tabs>
        <w:tab w:val="center" w:pos="4680"/>
        <w:tab w:val="right" w:pos="9360"/>
      </w:tabs>
      <w:spacing w:after="0" w:line="240" w:lineRule="auto"/>
    </w:pPr>
    <w:rPr>
      <w:rFonts w:ascii="Arial" w:eastAsiaTheme="minorEastAsia" w:hAnsi="Arial" w:cs="Times New Roman"/>
      <w:sz w:val="24"/>
      <w:szCs w:val="20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E91655"/>
    <w:rPr>
      <w:rFonts w:ascii="Arial" w:eastAsiaTheme="minorEastAsia" w:hAnsi="Arial" w:cs="Times New Roman"/>
      <w:sz w:val="24"/>
      <w:szCs w:val="20"/>
      <w:lang w:val="en-CA"/>
    </w:rPr>
  </w:style>
  <w:style w:type="paragraph" w:customStyle="1" w:styleId="Default">
    <w:name w:val="Default"/>
    <w:rsid w:val="00E916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reflex3-block">
    <w:name w:val="reflex3-block"/>
    <w:basedOn w:val="DefaultParagraphFont"/>
    <w:rsid w:val="00E91655"/>
    <w:rPr>
      <w:rFonts w:cs="Times New Roman"/>
    </w:rPr>
  </w:style>
  <w:style w:type="character" w:customStyle="1" w:styleId="reflex3-alt">
    <w:name w:val="reflex3-alt"/>
    <w:basedOn w:val="DefaultParagraphFont"/>
    <w:rsid w:val="00E916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zlaw.ca/wp-content/uploads/2019/10/cd08b4_a6471f1eda2c4084800d3c7106fb64e2.pdf" TargetMode="External"/><Relationship Id="rId13" Type="http://schemas.openxmlformats.org/officeDocument/2006/relationships/hyperlink" Target="https://www.canlii.org/en/bc/bcsc/doc/2020/2020bcsc1247/2020bcsc1247.pdf" TargetMode="External"/><Relationship Id="rId18" Type="http://schemas.openxmlformats.org/officeDocument/2006/relationships/hyperlink" Target="https://www.canlii.org/en/bc/bcsc/doc/2016/2016bcsc2405/2016bcsc2405.html" TargetMode="External"/><Relationship Id="rId26" Type="http://schemas.openxmlformats.org/officeDocument/2006/relationships/hyperlink" Target="https://d.docs.live.net/21e06839071c083d/Desktop/13.05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nlii.org/en/bc/bcsc/doc/2015/2015bcsc57/2015bcsc57.html?autocompleteStr=2015%20BCSC%2057&amp;autocompletePos=1" TargetMode="External"/><Relationship Id="rId7" Type="http://schemas.openxmlformats.org/officeDocument/2006/relationships/hyperlink" Target="https://www.bccourts.ca/jdb-txt/sc/19/11/2019BCSC1136.htm" TargetMode="External"/><Relationship Id="rId12" Type="http://schemas.openxmlformats.org/officeDocument/2006/relationships/hyperlink" Target="https://www.canlii.org/en/bc/bcsc/doc/2020/2020bcsc1247/2020bcsc1247.pdf" TargetMode="External"/><Relationship Id="rId17" Type="http://schemas.openxmlformats.org/officeDocument/2006/relationships/hyperlink" Target="https://www.canlii.org/en/bc/bcsc/doc/2016/2016bcsc81/2016bcsc81.html?autocompleteStr=2016%20BCSC%2081&amp;autocompletePos=1" TargetMode="External"/><Relationship Id="rId25" Type="http://schemas.openxmlformats.org/officeDocument/2006/relationships/hyperlink" Target="https://www.canlii.org/en/bc/bcsc/doc/2019/2019bcsc2336/2019bcsc2336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anlii.org/en/bc/bcsc/doc/2016/2016bcsc1003/2016bcsc1003.html?autocompleteStr=lampkin&amp;autocompletePos=1" TargetMode="External"/><Relationship Id="rId20" Type="http://schemas.openxmlformats.org/officeDocument/2006/relationships/hyperlink" Target="https://lawsdocbox.com/Legal_Issues/113459629-Articles-the-verdict.html" TargetMode="External"/><Relationship Id="rId29" Type="http://schemas.openxmlformats.org/officeDocument/2006/relationships/hyperlink" Target="https://www.bccourts.ca/jdb-txt/sc/20/05/2020BCSC0528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c-csc.lexum.com/scc-csc/scc-csc/en/item/17085/index.do" TargetMode="External"/><Relationship Id="rId11" Type="http://schemas.openxmlformats.org/officeDocument/2006/relationships/hyperlink" Target="https://www.canlii.org/en/bc/bcsc/doc/2020/2020bcsc1302/2020bcsc1302.pdf" TargetMode="External"/><Relationship Id="rId24" Type="http://schemas.openxmlformats.org/officeDocument/2006/relationships/hyperlink" Target="https://www.canlii.org/en/bc/bcsc/doc/2019/2019bcsc2435/2019bcsc2435.html?resultIndex=3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sk@kazlaw.ca" TargetMode="External"/><Relationship Id="rId15" Type="http://schemas.openxmlformats.org/officeDocument/2006/relationships/hyperlink" Target="https://www.canlii.org/en/on/onca/doc/2019/2019onca842/2019onca842.html?autocompleteStr=2019%20ONCA%20842&amp;autocompletePos=1" TargetMode="External"/><Relationship Id="rId23" Type="http://schemas.openxmlformats.org/officeDocument/2006/relationships/hyperlink" Target="https://www.canlii.org/en/bc/bcsc/doc/2020/2020bcsc1302/2020bcsc1302.pdf" TargetMode="External"/><Relationship Id="rId28" Type="http://schemas.openxmlformats.org/officeDocument/2006/relationships/hyperlink" Target="https://www.kazlaw.ca/wp-content/uploads/2020/03/Del-Bianco-v.-Yang-2020-BCSC-410.pdf" TargetMode="External"/><Relationship Id="rId10" Type="http://schemas.openxmlformats.org/officeDocument/2006/relationships/hyperlink" Target="https://www.bccourts.ca/jdb-txt/SC/14/24/2014BCSC2435.htm" TargetMode="External"/><Relationship Id="rId19" Type="http://schemas.openxmlformats.org/officeDocument/2006/relationships/hyperlink" Target="https://www.canlii.org/en/bc/bcca/doc/2018/2018bcca77/2018bcca77.html?autocompleteStr=kim%20v.%20lin'&amp;autocompletePos=1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ccourts.ca/jdb-txt/sc/19/14/2019BCSC1454.htm" TargetMode="External"/><Relationship Id="rId14" Type="http://schemas.openxmlformats.org/officeDocument/2006/relationships/hyperlink" Target="https://www.icbc.com/claims/injury/Pages/Minor-injuries.aspx" TargetMode="External"/><Relationship Id="rId22" Type="http://schemas.openxmlformats.org/officeDocument/2006/relationships/hyperlink" Target="https://www.canlii.org/en/bc/bcsc/doc/2020/2020bcsc1302/2020bcsc1302.pdf" TargetMode="External"/><Relationship Id="rId27" Type="http://schemas.openxmlformats.org/officeDocument/2006/relationships/hyperlink" Target="https://www.bclaws.gov.bc.ca/civix/document/id/complete/statreg/447_83_07" TargetMode="External"/><Relationship Id="rId30" Type="http://schemas.openxmlformats.org/officeDocument/2006/relationships/hyperlink" Target="https://allard.ubc.ca/sites/default/files/2020-11/Exam_Schedule_Spring_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Kovacs</dc:creator>
  <cp:keywords/>
  <dc:description/>
  <cp:lastModifiedBy>Sandy Kovacs</cp:lastModifiedBy>
  <cp:revision>3</cp:revision>
  <dcterms:created xsi:type="dcterms:W3CDTF">2020-12-31T05:27:00Z</dcterms:created>
  <dcterms:modified xsi:type="dcterms:W3CDTF">2020-12-31T05:39:00Z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PATH">
    <vt:lpwstr>\2021\2021</vt:lpwstr>
  </property>
</Properties>
</file>