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C2132A" w:rsidTr="00E268DC">
        <w:tc>
          <w:tcPr>
            <w:tcW w:w="3227" w:type="dxa"/>
            <w:tcBorders>
              <w:top w:val="single" w:sz="4" w:space="0" w:color="auto"/>
              <w:left w:val="nil"/>
              <w:bottom w:val="nil"/>
              <w:right w:val="nil"/>
            </w:tcBorders>
          </w:tcPr>
          <w:p w:rsidR="00C2132A" w:rsidRDefault="00C2132A" w:rsidP="00E268DC">
            <w:pPr>
              <w:pStyle w:val="Title"/>
              <w:tabs>
                <w:tab w:val="left" w:pos="360"/>
              </w:tabs>
              <w:ind w:right="0"/>
              <w:jc w:val="both"/>
              <w:rPr>
                <w:sz w:val="24"/>
                <w:szCs w:val="24"/>
              </w:rPr>
            </w:pPr>
          </w:p>
        </w:tc>
        <w:tc>
          <w:tcPr>
            <w:tcW w:w="4081" w:type="dxa"/>
            <w:tcBorders>
              <w:top w:val="single" w:sz="4" w:space="0" w:color="auto"/>
              <w:left w:val="nil"/>
              <w:bottom w:val="nil"/>
              <w:right w:val="nil"/>
            </w:tcBorders>
          </w:tcPr>
          <w:p w:rsidR="00C2132A" w:rsidRDefault="00C2132A" w:rsidP="00E268DC">
            <w:pPr>
              <w:pStyle w:val="Title"/>
              <w:tabs>
                <w:tab w:val="left" w:pos="360"/>
              </w:tabs>
              <w:ind w:right="0"/>
              <w:jc w:val="both"/>
              <w:rPr>
                <w:sz w:val="24"/>
                <w:szCs w:val="24"/>
              </w:rPr>
            </w:pPr>
          </w:p>
        </w:tc>
        <w:tc>
          <w:tcPr>
            <w:tcW w:w="2952" w:type="dxa"/>
            <w:tcBorders>
              <w:top w:val="single" w:sz="4" w:space="0" w:color="auto"/>
              <w:left w:val="nil"/>
              <w:bottom w:val="nil"/>
              <w:right w:val="nil"/>
            </w:tcBorders>
          </w:tcPr>
          <w:p w:rsidR="00C2132A" w:rsidRDefault="00C2132A" w:rsidP="00E268DC">
            <w:pPr>
              <w:pStyle w:val="Title"/>
              <w:tabs>
                <w:tab w:val="left" w:pos="360"/>
              </w:tabs>
              <w:ind w:right="0"/>
              <w:jc w:val="both"/>
              <w:rPr>
                <w:sz w:val="24"/>
                <w:szCs w:val="24"/>
              </w:rPr>
            </w:pPr>
          </w:p>
        </w:tc>
      </w:tr>
      <w:tr w:rsidR="00C2132A" w:rsidRPr="00D40664" w:rsidTr="00E268DC">
        <w:tc>
          <w:tcPr>
            <w:tcW w:w="3227" w:type="dxa"/>
            <w:tcBorders>
              <w:top w:val="nil"/>
              <w:left w:val="nil"/>
              <w:bottom w:val="nil"/>
              <w:right w:val="nil"/>
            </w:tcBorders>
            <w:hideMark/>
          </w:tcPr>
          <w:p w:rsidR="00C2132A" w:rsidRPr="00D40664" w:rsidRDefault="00C2132A" w:rsidP="00E268DC">
            <w:pPr>
              <w:pStyle w:val="Title"/>
              <w:tabs>
                <w:tab w:val="left" w:pos="360"/>
              </w:tabs>
              <w:ind w:right="0"/>
              <w:jc w:val="both"/>
              <w:rPr>
                <w:sz w:val="24"/>
                <w:szCs w:val="24"/>
              </w:rPr>
            </w:pPr>
            <w:r w:rsidRPr="00D40664">
              <w:rPr>
                <w:sz w:val="24"/>
                <w:szCs w:val="24"/>
              </w:rPr>
              <w:t>Law 435C.001</w:t>
            </w:r>
          </w:p>
        </w:tc>
        <w:tc>
          <w:tcPr>
            <w:tcW w:w="4081" w:type="dxa"/>
            <w:tcBorders>
              <w:top w:val="nil"/>
              <w:left w:val="nil"/>
              <w:bottom w:val="nil"/>
              <w:right w:val="nil"/>
            </w:tcBorders>
            <w:hideMark/>
          </w:tcPr>
          <w:p w:rsidR="00C2132A" w:rsidRPr="00D40664" w:rsidRDefault="00C2132A" w:rsidP="00E268DC">
            <w:pPr>
              <w:pStyle w:val="Title"/>
              <w:tabs>
                <w:tab w:val="left" w:pos="360"/>
              </w:tabs>
              <w:ind w:right="0"/>
              <w:jc w:val="both"/>
              <w:rPr>
                <w:sz w:val="24"/>
                <w:szCs w:val="24"/>
              </w:rPr>
            </w:pPr>
            <w:r w:rsidRPr="00D40664">
              <w:rPr>
                <w:sz w:val="24"/>
                <w:szCs w:val="24"/>
              </w:rPr>
              <w:t>Personal Injury Advocacy</w:t>
            </w:r>
          </w:p>
        </w:tc>
        <w:tc>
          <w:tcPr>
            <w:tcW w:w="2952" w:type="dxa"/>
            <w:tcBorders>
              <w:top w:val="nil"/>
              <w:left w:val="nil"/>
              <w:bottom w:val="nil"/>
              <w:right w:val="nil"/>
            </w:tcBorders>
            <w:hideMark/>
          </w:tcPr>
          <w:p w:rsidR="00C2132A" w:rsidRPr="00D40664" w:rsidRDefault="00C2132A" w:rsidP="00BA7DA9">
            <w:pPr>
              <w:pStyle w:val="Title"/>
              <w:tabs>
                <w:tab w:val="left" w:pos="360"/>
              </w:tabs>
              <w:ind w:right="0"/>
              <w:jc w:val="both"/>
              <w:rPr>
                <w:sz w:val="24"/>
                <w:szCs w:val="24"/>
              </w:rPr>
            </w:pPr>
            <w:r>
              <w:rPr>
                <w:sz w:val="24"/>
                <w:szCs w:val="24"/>
              </w:rPr>
              <w:t>202</w:t>
            </w:r>
            <w:r w:rsidR="00BA7DA9">
              <w:rPr>
                <w:sz w:val="24"/>
                <w:szCs w:val="24"/>
              </w:rPr>
              <w:t>1</w:t>
            </w:r>
            <w:r w:rsidRPr="00D40664">
              <w:rPr>
                <w:sz w:val="24"/>
                <w:szCs w:val="24"/>
              </w:rPr>
              <w:t xml:space="preserve">  Term 2</w:t>
            </w:r>
          </w:p>
        </w:tc>
      </w:tr>
      <w:tr w:rsidR="00C2132A" w:rsidRPr="00D40664" w:rsidTr="00E268DC">
        <w:tc>
          <w:tcPr>
            <w:tcW w:w="3227" w:type="dxa"/>
            <w:tcBorders>
              <w:top w:val="nil"/>
              <w:left w:val="nil"/>
              <w:bottom w:val="nil"/>
              <w:right w:val="nil"/>
            </w:tcBorders>
          </w:tcPr>
          <w:p w:rsidR="00C2132A" w:rsidRPr="00D40664" w:rsidRDefault="00C2132A" w:rsidP="00E268DC">
            <w:pPr>
              <w:pStyle w:val="Title"/>
              <w:tabs>
                <w:tab w:val="left" w:pos="360"/>
              </w:tabs>
              <w:ind w:right="0"/>
              <w:jc w:val="left"/>
              <w:rPr>
                <w:sz w:val="24"/>
                <w:szCs w:val="24"/>
              </w:rPr>
            </w:pPr>
          </w:p>
        </w:tc>
        <w:tc>
          <w:tcPr>
            <w:tcW w:w="4081" w:type="dxa"/>
            <w:tcBorders>
              <w:top w:val="nil"/>
              <w:left w:val="nil"/>
              <w:bottom w:val="nil"/>
              <w:right w:val="nil"/>
            </w:tcBorders>
          </w:tcPr>
          <w:p w:rsidR="00C2132A" w:rsidRPr="00D40664" w:rsidRDefault="00C2132A" w:rsidP="00E268DC">
            <w:pPr>
              <w:pStyle w:val="Title"/>
              <w:tabs>
                <w:tab w:val="left" w:pos="360"/>
              </w:tabs>
              <w:ind w:right="0"/>
              <w:jc w:val="left"/>
              <w:rPr>
                <w:b w:val="0"/>
                <w:sz w:val="24"/>
                <w:szCs w:val="24"/>
              </w:rPr>
            </w:pPr>
          </w:p>
        </w:tc>
        <w:tc>
          <w:tcPr>
            <w:tcW w:w="2952" w:type="dxa"/>
            <w:tcBorders>
              <w:top w:val="nil"/>
              <w:left w:val="nil"/>
              <w:bottom w:val="nil"/>
              <w:right w:val="nil"/>
            </w:tcBorders>
          </w:tcPr>
          <w:p w:rsidR="00C2132A" w:rsidRPr="00D40664" w:rsidRDefault="00C2132A" w:rsidP="00E268DC">
            <w:pPr>
              <w:pStyle w:val="Title"/>
              <w:tabs>
                <w:tab w:val="left" w:pos="360"/>
              </w:tabs>
              <w:ind w:right="0"/>
              <w:jc w:val="left"/>
              <w:rPr>
                <w:sz w:val="24"/>
                <w:szCs w:val="24"/>
              </w:rPr>
            </w:pPr>
          </w:p>
        </w:tc>
      </w:tr>
      <w:tr w:rsidR="00C2132A" w:rsidRPr="00D40664" w:rsidTr="00E268DC">
        <w:tc>
          <w:tcPr>
            <w:tcW w:w="3227" w:type="dxa"/>
            <w:tcBorders>
              <w:top w:val="nil"/>
              <w:left w:val="nil"/>
              <w:bottom w:val="nil"/>
              <w:right w:val="nil"/>
            </w:tcBorders>
            <w:hideMark/>
          </w:tcPr>
          <w:p w:rsidR="00C2132A" w:rsidRPr="00D40664" w:rsidRDefault="00C2132A" w:rsidP="00E268DC">
            <w:pPr>
              <w:pStyle w:val="Title"/>
              <w:tabs>
                <w:tab w:val="left" w:pos="360"/>
              </w:tabs>
              <w:ind w:right="0"/>
              <w:jc w:val="left"/>
              <w:rPr>
                <w:b w:val="0"/>
                <w:sz w:val="24"/>
                <w:szCs w:val="24"/>
              </w:rPr>
            </w:pPr>
            <w:r w:rsidRPr="00D40664">
              <w:rPr>
                <w:b w:val="0"/>
                <w:sz w:val="24"/>
                <w:szCs w:val="24"/>
              </w:rPr>
              <w:t>Professors:</w:t>
            </w:r>
          </w:p>
          <w:p w:rsidR="00C2132A" w:rsidRPr="00D40664" w:rsidRDefault="00C2132A" w:rsidP="00E268DC">
            <w:pPr>
              <w:pStyle w:val="Title"/>
              <w:tabs>
                <w:tab w:val="left" w:pos="360"/>
              </w:tabs>
              <w:ind w:right="0"/>
              <w:jc w:val="left"/>
              <w:rPr>
                <w:b w:val="0"/>
                <w:sz w:val="24"/>
                <w:szCs w:val="24"/>
              </w:rPr>
            </w:pPr>
            <w:r w:rsidRPr="00D40664">
              <w:rPr>
                <w:b w:val="0"/>
                <w:sz w:val="24"/>
                <w:szCs w:val="24"/>
              </w:rPr>
              <w:t>MARC KAZIMIRSKI and SANDRA KOVACS</w:t>
            </w:r>
          </w:p>
        </w:tc>
        <w:tc>
          <w:tcPr>
            <w:tcW w:w="4081" w:type="dxa"/>
            <w:tcBorders>
              <w:top w:val="nil"/>
              <w:left w:val="nil"/>
              <w:bottom w:val="nil"/>
              <w:right w:val="nil"/>
            </w:tcBorders>
            <w:hideMark/>
          </w:tcPr>
          <w:p w:rsidR="00C2132A" w:rsidRPr="00D40664" w:rsidRDefault="00C2132A" w:rsidP="00E268DC">
            <w:pPr>
              <w:pStyle w:val="Title"/>
              <w:tabs>
                <w:tab w:val="left" w:pos="360"/>
              </w:tabs>
              <w:ind w:right="0"/>
              <w:jc w:val="left"/>
              <w:rPr>
                <w:b w:val="0"/>
                <w:sz w:val="24"/>
                <w:szCs w:val="24"/>
              </w:rPr>
            </w:pPr>
            <w:r w:rsidRPr="00D40664">
              <w:rPr>
                <w:b w:val="0"/>
                <w:sz w:val="24"/>
                <w:szCs w:val="24"/>
              </w:rPr>
              <w:t>Tel: (604) 681-9344</w:t>
            </w:r>
          </w:p>
          <w:p w:rsidR="00C2132A" w:rsidRPr="00D40664" w:rsidRDefault="00C2132A" w:rsidP="00E268DC">
            <w:pPr>
              <w:pStyle w:val="Title"/>
              <w:tabs>
                <w:tab w:val="left" w:pos="360"/>
              </w:tabs>
              <w:ind w:right="0"/>
              <w:jc w:val="left"/>
              <w:rPr>
                <w:b w:val="0"/>
                <w:sz w:val="24"/>
                <w:szCs w:val="24"/>
              </w:rPr>
            </w:pPr>
            <w:r w:rsidRPr="00D40664">
              <w:rPr>
                <w:b w:val="0"/>
                <w:sz w:val="24"/>
                <w:szCs w:val="24"/>
              </w:rPr>
              <w:t xml:space="preserve">Email: mak@kazlaw.ca </w:t>
            </w:r>
            <w:r>
              <w:rPr>
                <w:b w:val="0"/>
                <w:sz w:val="24"/>
                <w:szCs w:val="24"/>
              </w:rPr>
              <w:br/>
              <w:t xml:space="preserve">Email: sk@kazlaw.ca </w:t>
            </w:r>
            <w:r>
              <w:rPr>
                <w:b w:val="0"/>
                <w:sz w:val="24"/>
                <w:szCs w:val="24"/>
              </w:rPr>
              <w:br/>
            </w:r>
            <w:r w:rsidRPr="00D40664">
              <w:rPr>
                <w:b w:val="0"/>
                <w:sz w:val="24"/>
                <w:szCs w:val="24"/>
              </w:rPr>
              <w:t xml:space="preserve">Office: 1900-570 Granville Street, Vancouver BC </w:t>
            </w:r>
          </w:p>
        </w:tc>
        <w:tc>
          <w:tcPr>
            <w:tcW w:w="2952" w:type="dxa"/>
            <w:tcBorders>
              <w:top w:val="nil"/>
              <w:left w:val="nil"/>
              <w:bottom w:val="nil"/>
              <w:right w:val="nil"/>
            </w:tcBorders>
          </w:tcPr>
          <w:p w:rsidR="00C2132A" w:rsidRPr="00D40664" w:rsidRDefault="00C2132A" w:rsidP="00E268DC">
            <w:pPr>
              <w:pStyle w:val="Title"/>
              <w:tabs>
                <w:tab w:val="left" w:pos="360"/>
              </w:tabs>
              <w:ind w:right="0"/>
              <w:jc w:val="left"/>
              <w:rPr>
                <w:b w:val="0"/>
                <w:sz w:val="24"/>
                <w:szCs w:val="24"/>
              </w:rPr>
            </w:pPr>
            <w:r w:rsidRPr="00D40664">
              <w:rPr>
                <w:b w:val="0"/>
                <w:sz w:val="24"/>
                <w:szCs w:val="24"/>
              </w:rPr>
              <w:t>Mondays 5:00 – 8:00 pm</w:t>
            </w:r>
          </w:p>
          <w:p w:rsidR="00C2132A" w:rsidRPr="00D40664" w:rsidRDefault="00C2132A" w:rsidP="00E268DC">
            <w:pPr>
              <w:pStyle w:val="Title"/>
              <w:tabs>
                <w:tab w:val="left" w:pos="360"/>
              </w:tabs>
              <w:ind w:right="0"/>
              <w:jc w:val="left"/>
              <w:rPr>
                <w:b w:val="0"/>
                <w:sz w:val="24"/>
                <w:szCs w:val="24"/>
              </w:rPr>
            </w:pPr>
            <w:r w:rsidRPr="00D40664">
              <w:rPr>
                <w:b w:val="0"/>
                <w:sz w:val="24"/>
                <w:szCs w:val="24"/>
              </w:rPr>
              <w:t>UBC Faculty of Law</w:t>
            </w:r>
          </w:p>
          <w:p w:rsidR="00C2132A" w:rsidRPr="00D40664" w:rsidRDefault="00883011" w:rsidP="00E268DC">
            <w:pPr>
              <w:pStyle w:val="Title"/>
              <w:tabs>
                <w:tab w:val="left" w:pos="360"/>
              </w:tabs>
              <w:ind w:right="0"/>
              <w:jc w:val="left"/>
              <w:rPr>
                <w:b w:val="0"/>
                <w:sz w:val="24"/>
                <w:szCs w:val="24"/>
              </w:rPr>
            </w:pPr>
            <w:r>
              <w:rPr>
                <w:b w:val="0"/>
                <w:sz w:val="24"/>
                <w:szCs w:val="24"/>
              </w:rPr>
              <w:t>Zoom</w:t>
            </w:r>
          </w:p>
          <w:p w:rsidR="00C2132A" w:rsidRPr="00D40664" w:rsidRDefault="00C2132A" w:rsidP="00E268DC">
            <w:pPr>
              <w:pStyle w:val="Title"/>
              <w:tabs>
                <w:tab w:val="left" w:pos="360"/>
              </w:tabs>
              <w:ind w:right="0"/>
              <w:jc w:val="left"/>
              <w:rPr>
                <w:b w:val="0"/>
                <w:sz w:val="24"/>
                <w:szCs w:val="24"/>
              </w:rPr>
            </w:pPr>
          </w:p>
        </w:tc>
      </w:tr>
      <w:tr w:rsidR="00C2132A" w:rsidRPr="00D40664" w:rsidTr="00E268DC">
        <w:tc>
          <w:tcPr>
            <w:tcW w:w="3227" w:type="dxa"/>
            <w:tcBorders>
              <w:top w:val="nil"/>
              <w:left w:val="nil"/>
              <w:bottom w:val="single" w:sz="4" w:space="0" w:color="auto"/>
              <w:right w:val="nil"/>
            </w:tcBorders>
          </w:tcPr>
          <w:p w:rsidR="00C2132A" w:rsidRPr="00D40664" w:rsidRDefault="00C2132A" w:rsidP="00E268DC">
            <w:pPr>
              <w:pStyle w:val="Title"/>
              <w:tabs>
                <w:tab w:val="left" w:pos="360"/>
              </w:tabs>
              <w:ind w:right="0"/>
              <w:jc w:val="both"/>
              <w:rPr>
                <w:b w:val="0"/>
                <w:sz w:val="24"/>
                <w:szCs w:val="24"/>
              </w:rPr>
            </w:pPr>
          </w:p>
        </w:tc>
        <w:tc>
          <w:tcPr>
            <w:tcW w:w="4081" w:type="dxa"/>
            <w:tcBorders>
              <w:top w:val="nil"/>
              <w:left w:val="nil"/>
              <w:bottom w:val="single" w:sz="4" w:space="0" w:color="auto"/>
              <w:right w:val="nil"/>
            </w:tcBorders>
          </w:tcPr>
          <w:p w:rsidR="00C2132A" w:rsidRPr="00D40664" w:rsidRDefault="00C2132A" w:rsidP="00E268DC">
            <w:pPr>
              <w:pStyle w:val="Title"/>
              <w:tabs>
                <w:tab w:val="left" w:pos="360"/>
              </w:tabs>
              <w:ind w:right="0"/>
              <w:jc w:val="both"/>
              <w:rPr>
                <w:b w:val="0"/>
                <w:sz w:val="24"/>
                <w:szCs w:val="24"/>
              </w:rPr>
            </w:pPr>
          </w:p>
        </w:tc>
        <w:tc>
          <w:tcPr>
            <w:tcW w:w="2952" w:type="dxa"/>
            <w:tcBorders>
              <w:top w:val="nil"/>
              <w:left w:val="nil"/>
              <w:bottom w:val="single" w:sz="4" w:space="0" w:color="auto"/>
              <w:right w:val="nil"/>
            </w:tcBorders>
          </w:tcPr>
          <w:p w:rsidR="00C2132A" w:rsidRPr="00D40664" w:rsidRDefault="00C2132A" w:rsidP="00E268DC">
            <w:pPr>
              <w:pStyle w:val="Title"/>
              <w:tabs>
                <w:tab w:val="left" w:pos="360"/>
              </w:tabs>
              <w:ind w:right="0"/>
              <w:jc w:val="both"/>
              <w:rPr>
                <w:b w:val="0"/>
                <w:sz w:val="24"/>
                <w:szCs w:val="24"/>
              </w:rPr>
            </w:pPr>
          </w:p>
        </w:tc>
      </w:tr>
    </w:tbl>
    <w:p w:rsidR="00C2132A" w:rsidRPr="006914BD" w:rsidRDefault="00C2132A" w:rsidP="00C2132A">
      <w:pPr>
        <w:tabs>
          <w:tab w:val="center" w:pos="4513"/>
        </w:tabs>
        <w:suppressAutoHyphens/>
        <w:spacing w:line="240" w:lineRule="atLeast"/>
        <w:jc w:val="both"/>
        <w:rPr>
          <w:rFonts w:ascii="Arial" w:hAnsi="Arial" w:cs="Arial"/>
          <w:b/>
          <w:bCs/>
          <w:spacing w:val="-3"/>
        </w:rPr>
      </w:pPr>
    </w:p>
    <w:p w:rsidR="00C2132A" w:rsidRPr="00C2132A" w:rsidRDefault="00C2132A" w:rsidP="00C2132A">
      <w:pPr>
        <w:tabs>
          <w:tab w:val="center" w:pos="4513"/>
        </w:tabs>
        <w:suppressAutoHyphens/>
        <w:spacing w:line="240" w:lineRule="atLeast"/>
        <w:jc w:val="center"/>
        <w:rPr>
          <w:rFonts w:ascii="Arial" w:hAnsi="Arial" w:cs="Arial"/>
          <w:b/>
          <w:sz w:val="28"/>
        </w:rPr>
      </w:pPr>
      <w:r>
        <w:rPr>
          <w:rFonts w:ascii="Arial" w:hAnsi="Arial" w:cs="Arial"/>
          <w:b/>
          <w:bCs/>
          <w:spacing w:val="-3"/>
          <w:sz w:val="28"/>
        </w:rPr>
        <w:t>WEEK 10:</w:t>
      </w:r>
      <w:r>
        <w:rPr>
          <w:rFonts w:ascii="Arial" w:hAnsi="Arial" w:cs="Arial"/>
          <w:b/>
          <w:sz w:val="28"/>
        </w:rPr>
        <w:t xml:space="preserve"> EVIDENCE AT TRIAL</w:t>
      </w:r>
      <w:r w:rsidRPr="006914BD">
        <w:rPr>
          <w:rFonts w:ascii="Arial" w:hAnsi="Arial" w:cs="Arial"/>
          <w:b/>
          <w:bCs/>
          <w:i/>
          <w:sz w:val="28"/>
          <w:u w:val="single"/>
        </w:rPr>
        <w:br/>
      </w:r>
    </w:p>
    <w:p w:rsidR="00C2132A" w:rsidRPr="006914BD" w:rsidRDefault="00C2132A" w:rsidP="00C2132A">
      <w:pPr>
        <w:pStyle w:val="Default"/>
        <w:numPr>
          <w:ilvl w:val="1"/>
          <w:numId w:val="1"/>
        </w:numPr>
        <w:ind w:left="720" w:hanging="720"/>
        <w:jc w:val="both"/>
        <w:rPr>
          <w:rFonts w:ascii="Arial" w:hAnsi="Arial" w:cs="Arial"/>
          <w:b/>
          <w:sz w:val="28"/>
        </w:rPr>
      </w:pPr>
      <w:r w:rsidRPr="006914BD">
        <w:rPr>
          <w:rFonts w:ascii="Arial" w:hAnsi="Arial" w:cs="Arial"/>
          <w:b/>
          <w:sz w:val="28"/>
        </w:rPr>
        <w:t xml:space="preserve">Teaching Objectives </w:t>
      </w:r>
    </w:p>
    <w:p w:rsidR="00C2132A" w:rsidRPr="006914BD" w:rsidRDefault="00C2132A" w:rsidP="00C2132A">
      <w:pPr>
        <w:pStyle w:val="Default"/>
        <w:jc w:val="both"/>
        <w:rPr>
          <w:rFonts w:ascii="Arial" w:hAnsi="Arial" w:cs="Arial"/>
        </w:rPr>
      </w:pPr>
    </w:p>
    <w:p w:rsidR="00C2132A" w:rsidRPr="006914BD" w:rsidRDefault="003570DB" w:rsidP="00C2132A">
      <w:pPr>
        <w:pStyle w:val="Default"/>
        <w:numPr>
          <w:ilvl w:val="0"/>
          <w:numId w:val="24"/>
        </w:numPr>
        <w:spacing w:after="240"/>
        <w:jc w:val="both"/>
        <w:rPr>
          <w:rFonts w:ascii="Arial" w:hAnsi="Arial" w:cs="Arial"/>
        </w:rPr>
      </w:pPr>
      <w:r>
        <w:rPr>
          <w:rFonts w:ascii="Arial" w:hAnsi="Arial" w:cs="Arial"/>
        </w:rPr>
        <w:t>To explore the various kinds of evidence, the procedure for admitting or leading evidence, and how to challenge your opponent’s e</w:t>
      </w:r>
      <w:r w:rsidR="00052848">
        <w:rPr>
          <w:rFonts w:ascii="Arial" w:hAnsi="Arial" w:cs="Arial"/>
        </w:rPr>
        <w:t>vidence</w:t>
      </w:r>
      <w:r>
        <w:rPr>
          <w:rFonts w:ascii="Arial" w:hAnsi="Arial" w:cs="Arial"/>
        </w:rPr>
        <w:t xml:space="preserve"> through cross-examination </w:t>
      </w:r>
      <w:r w:rsidR="00052848">
        <w:rPr>
          <w:rFonts w:ascii="Arial" w:hAnsi="Arial" w:cs="Arial"/>
        </w:rPr>
        <w:t>and</w:t>
      </w:r>
      <w:r>
        <w:rPr>
          <w:rFonts w:ascii="Arial" w:hAnsi="Arial" w:cs="Arial"/>
        </w:rPr>
        <w:t xml:space="preserve"> otherwise. </w:t>
      </w:r>
    </w:p>
    <w:p w:rsidR="00BA7DA9" w:rsidRDefault="00BA7DA9" w:rsidP="00C2132A">
      <w:pPr>
        <w:pStyle w:val="Default"/>
        <w:keepNext/>
        <w:keepLines/>
        <w:numPr>
          <w:ilvl w:val="1"/>
          <w:numId w:val="1"/>
        </w:numPr>
        <w:spacing w:after="240"/>
        <w:jc w:val="both"/>
        <w:rPr>
          <w:rFonts w:ascii="Arial" w:hAnsi="Arial" w:cs="Arial"/>
          <w:b/>
          <w:sz w:val="28"/>
        </w:rPr>
      </w:pPr>
      <w:r>
        <w:rPr>
          <w:rFonts w:ascii="Arial" w:hAnsi="Arial" w:cs="Arial"/>
          <w:b/>
          <w:sz w:val="28"/>
        </w:rPr>
        <w:t>Readings</w:t>
      </w:r>
    </w:p>
    <w:p w:rsidR="00C76C1B" w:rsidRDefault="00C76C1B" w:rsidP="00C76C1B">
      <w:pPr>
        <w:pStyle w:val="Default"/>
        <w:numPr>
          <w:ilvl w:val="1"/>
          <w:numId w:val="13"/>
        </w:numPr>
        <w:spacing w:after="240"/>
        <w:ind w:left="720"/>
        <w:jc w:val="both"/>
        <w:rPr>
          <w:rFonts w:ascii="Arial" w:hAnsi="Arial" w:cs="Arial"/>
          <w:color w:val="auto"/>
        </w:rPr>
      </w:pPr>
      <w:r>
        <w:rPr>
          <w:rFonts w:ascii="Arial" w:hAnsi="Arial" w:cs="Arial"/>
          <w:color w:val="auto"/>
        </w:rPr>
        <w:t>Sample cross-examinations (attached to email)</w:t>
      </w:r>
    </w:p>
    <w:p w:rsidR="004B4011" w:rsidRPr="00C76C1B" w:rsidRDefault="004B4011" w:rsidP="004B4011">
      <w:pPr>
        <w:pStyle w:val="Default"/>
        <w:numPr>
          <w:ilvl w:val="2"/>
          <w:numId w:val="13"/>
        </w:numPr>
        <w:spacing w:after="240"/>
        <w:ind w:left="1440"/>
        <w:jc w:val="both"/>
        <w:rPr>
          <w:rFonts w:ascii="Arial" w:hAnsi="Arial" w:cs="Arial"/>
          <w:color w:val="auto"/>
        </w:rPr>
      </w:pPr>
      <w:proofErr w:type="spellStart"/>
      <w:r>
        <w:rPr>
          <w:rFonts w:ascii="Arial" w:hAnsi="Arial" w:cs="Arial"/>
          <w:i/>
          <w:color w:val="auto"/>
        </w:rPr>
        <w:t>Uy</w:t>
      </w:r>
      <w:proofErr w:type="spellEnd"/>
      <w:r>
        <w:rPr>
          <w:rFonts w:ascii="Arial" w:hAnsi="Arial" w:cs="Arial"/>
          <w:i/>
          <w:color w:val="auto"/>
        </w:rPr>
        <w:t xml:space="preserve"> v.</w:t>
      </w:r>
      <w:r>
        <w:rPr>
          <w:rFonts w:ascii="Arial" w:hAnsi="Arial" w:cs="Arial"/>
          <w:color w:val="auto"/>
        </w:rPr>
        <w:t xml:space="preserve"> </w:t>
      </w:r>
      <w:r w:rsidRPr="00C76C1B">
        <w:rPr>
          <w:rFonts w:ascii="Arial" w:hAnsi="Arial" w:cs="Arial"/>
          <w:i/>
          <w:color w:val="auto"/>
        </w:rPr>
        <w:t>Dhillon</w:t>
      </w:r>
      <w:r>
        <w:rPr>
          <w:rFonts w:ascii="Arial" w:hAnsi="Arial" w:cs="Arial"/>
          <w:i/>
          <w:color w:val="auto"/>
        </w:rPr>
        <w:t xml:space="preserve">, </w:t>
      </w:r>
      <w:r>
        <w:rPr>
          <w:rFonts w:ascii="Arial" w:hAnsi="Arial" w:cs="Arial"/>
          <w:color w:val="auto"/>
        </w:rPr>
        <w:t xml:space="preserve">2019 BCSC 1136: </w:t>
      </w:r>
      <w:r w:rsidRPr="00C76C1B">
        <w:rPr>
          <w:rFonts w:ascii="Arial" w:hAnsi="Arial" w:cs="Arial"/>
          <w:color w:val="auto"/>
        </w:rPr>
        <w:t>Cross of defendant driver Dhillon</w:t>
      </w:r>
    </w:p>
    <w:p w:rsidR="00C76C1B" w:rsidRDefault="00C76C1B" w:rsidP="00C76C1B">
      <w:pPr>
        <w:pStyle w:val="Default"/>
        <w:numPr>
          <w:ilvl w:val="2"/>
          <w:numId w:val="13"/>
        </w:numPr>
        <w:spacing w:after="240"/>
        <w:ind w:left="1440"/>
        <w:jc w:val="both"/>
        <w:rPr>
          <w:rFonts w:ascii="Arial" w:hAnsi="Arial" w:cs="Arial"/>
          <w:color w:val="auto"/>
        </w:rPr>
      </w:pPr>
      <w:r>
        <w:rPr>
          <w:rFonts w:ascii="Arial" w:hAnsi="Arial" w:cs="Arial"/>
          <w:i/>
          <w:color w:val="auto"/>
        </w:rPr>
        <w:t xml:space="preserve">Anderson v. </w:t>
      </w:r>
      <w:proofErr w:type="spellStart"/>
      <w:r>
        <w:rPr>
          <w:rFonts w:ascii="Arial" w:hAnsi="Arial" w:cs="Arial"/>
          <w:i/>
          <w:color w:val="auto"/>
        </w:rPr>
        <w:t>Molon</w:t>
      </w:r>
      <w:proofErr w:type="spellEnd"/>
      <w:r>
        <w:rPr>
          <w:rFonts w:ascii="Arial" w:hAnsi="Arial" w:cs="Arial"/>
          <w:i/>
          <w:color w:val="auto"/>
        </w:rPr>
        <w:t xml:space="preserve">, </w:t>
      </w:r>
      <w:r>
        <w:rPr>
          <w:rFonts w:ascii="Arial" w:hAnsi="Arial" w:cs="Arial"/>
          <w:color w:val="auto"/>
        </w:rPr>
        <w:t>2020 BCSC 1247</w:t>
      </w:r>
      <w:r>
        <w:rPr>
          <w:rFonts w:ascii="Arial" w:hAnsi="Arial" w:cs="Arial"/>
          <w:i/>
          <w:color w:val="auto"/>
        </w:rPr>
        <w:t xml:space="preserve">: </w:t>
      </w:r>
      <w:r w:rsidRPr="00C76C1B">
        <w:rPr>
          <w:rFonts w:ascii="Arial" w:hAnsi="Arial" w:cs="Arial"/>
          <w:color w:val="auto"/>
        </w:rPr>
        <w:t>Cross of</w:t>
      </w:r>
      <w:r>
        <w:rPr>
          <w:rFonts w:ascii="Arial" w:hAnsi="Arial" w:cs="Arial"/>
          <w:i/>
          <w:color w:val="auto"/>
        </w:rPr>
        <w:t xml:space="preserve"> </w:t>
      </w:r>
      <w:r w:rsidRPr="00C76C1B">
        <w:rPr>
          <w:rFonts w:ascii="Arial" w:hAnsi="Arial" w:cs="Arial"/>
          <w:color w:val="auto"/>
        </w:rPr>
        <w:t xml:space="preserve">Archbishop Emeritus </w:t>
      </w:r>
      <w:proofErr w:type="spellStart"/>
      <w:r w:rsidRPr="00C76C1B">
        <w:rPr>
          <w:rFonts w:ascii="Arial" w:hAnsi="Arial" w:cs="Arial"/>
          <w:color w:val="auto"/>
        </w:rPr>
        <w:t>Exner</w:t>
      </w:r>
      <w:bookmarkStart w:id="0" w:name="_GoBack"/>
      <w:bookmarkEnd w:id="0"/>
      <w:proofErr w:type="spellEnd"/>
    </w:p>
    <w:p w:rsidR="007154A5" w:rsidRDefault="007154A5" w:rsidP="00C76C1B">
      <w:pPr>
        <w:pStyle w:val="Default"/>
        <w:numPr>
          <w:ilvl w:val="1"/>
          <w:numId w:val="13"/>
        </w:numPr>
        <w:spacing w:after="240"/>
        <w:ind w:left="720"/>
        <w:jc w:val="both"/>
        <w:rPr>
          <w:rFonts w:ascii="Arial" w:hAnsi="Arial" w:cs="Arial"/>
          <w:color w:val="auto"/>
        </w:rPr>
      </w:pPr>
      <w:r>
        <w:rPr>
          <w:rFonts w:ascii="Arial" w:hAnsi="Arial" w:cs="Arial"/>
          <w:i/>
          <w:color w:val="auto"/>
        </w:rPr>
        <w:t xml:space="preserve">Samuel v. Chrysler,  </w:t>
      </w:r>
      <w:hyperlink r:id="rId7" w:history="1">
        <w:r w:rsidRPr="007154A5">
          <w:rPr>
            <w:rStyle w:val="Hyperlink"/>
            <w:rFonts w:ascii="Arial" w:hAnsi="Arial" w:cs="Arial"/>
          </w:rPr>
          <w:t>2007 BCCA 431</w:t>
        </w:r>
      </w:hyperlink>
      <w:r>
        <w:rPr>
          <w:rFonts w:ascii="Arial" w:hAnsi="Arial" w:cs="Arial"/>
          <w:i/>
          <w:color w:val="auto"/>
        </w:rPr>
        <w:t xml:space="preserve"> </w:t>
      </w:r>
      <w:r w:rsidR="00EC3719">
        <w:rPr>
          <w:rFonts w:ascii="Arial" w:hAnsi="Arial" w:cs="Arial"/>
          <w:color w:val="auto"/>
        </w:rPr>
        <w:t>(admissibility of clinical records binders)</w:t>
      </w:r>
    </w:p>
    <w:p w:rsidR="00C76C1B" w:rsidRDefault="00C76C1B" w:rsidP="00C76C1B">
      <w:pPr>
        <w:pStyle w:val="Default"/>
        <w:numPr>
          <w:ilvl w:val="1"/>
          <w:numId w:val="13"/>
        </w:numPr>
        <w:spacing w:after="240"/>
        <w:ind w:left="720"/>
        <w:jc w:val="both"/>
        <w:rPr>
          <w:rFonts w:ascii="Arial" w:hAnsi="Arial" w:cs="Arial"/>
          <w:color w:val="auto"/>
        </w:rPr>
      </w:pPr>
      <w:r>
        <w:rPr>
          <w:rFonts w:ascii="Arial" w:hAnsi="Arial" w:cs="Arial"/>
          <w:i/>
          <w:color w:val="auto"/>
        </w:rPr>
        <w:t xml:space="preserve">Crawford v. </w:t>
      </w:r>
      <w:proofErr w:type="spellStart"/>
      <w:r>
        <w:rPr>
          <w:rFonts w:ascii="Arial" w:hAnsi="Arial" w:cs="Arial"/>
          <w:i/>
          <w:color w:val="auto"/>
        </w:rPr>
        <w:t>Nazif</w:t>
      </w:r>
      <w:proofErr w:type="spellEnd"/>
      <w:r>
        <w:rPr>
          <w:rFonts w:ascii="Arial" w:hAnsi="Arial" w:cs="Arial"/>
          <w:i/>
          <w:color w:val="auto"/>
        </w:rPr>
        <w:t xml:space="preserve">, </w:t>
      </w:r>
      <w:hyperlink r:id="rId8" w:history="1">
        <w:r w:rsidRPr="00034B91">
          <w:rPr>
            <w:rStyle w:val="Hyperlink"/>
            <w:rFonts w:ascii="Arial" w:hAnsi="Arial" w:cs="Arial"/>
          </w:rPr>
          <w:t>2019 BCSC 2337</w:t>
        </w:r>
      </w:hyperlink>
      <w:r>
        <w:rPr>
          <w:rFonts w:ascii="Arial" w:hAnsi="Arial" w:cs="Arial"/>
          <w:i/>
          <w:color w:val="auto"/>
        </w:rPr>
        <w:t xml:space="preserve"> </w:t>
      </w:r>
      <w:r>
        <w:rPr>
          <w:rFonts w:ascii="Arial" w:hAnsi="Arial" w:cs="Arial"/>
          <w:color w:val="auto"/>
        </w:rPr>
        <w:t>(admissibility of scene evidence, para. 44-62)</w:t>
      </w:r>
    </w:p>
    <w:p w:rsidR="00C2132A" w:rsidRDefault="00F06EF4" w:rsidP="00C2132A">
      <w:pPr>
        <w:pStyle w:val="Default"/>
        <w:keepNext/>
        <w:keepLines/>
        <w:numPr>
          <w:ilvl w:val="1"/>
          <w:numId w:val="1"/>
        </w:numPr>
        <w:spacing w:after="240"/>
        <w:jc w:val="both"/>
        <w:rPr>
          <w:rFonts w:ascii="Arial" w:hAnsi="Arial" w:cs="Arial"/>
          <w:b/>
          <w:sz w:val="28"/>
        </w:rPr>
      </w:pPr>
      <w:r>
        <w:rPr>
          <w:rFonts w:ascii="Arial" w:hAnsi="Arial" w:cs="Arial"/>
          <w:b/>
          <w:sz w:val="28"/>
        </w:rPr>
        <w:t>Overview</w:t>
      </w:r>
    </w:p>
    <w:p w:rsidR="00C2132A" w:rsidRDefault="00C2132A" w:rsidP="00C2132A">
      <w:pPr>
        <w:pStyle w:val="ListParagraph"/>
        <w:numPr>
          <w:ilvl w:val="0"/>
          <w:numId w:val="19"/>
        </w:numPr>
        <w:spacing w:after="200"/>
        <w:ind w:hanging="720"/>
        <w:contextualSpacing w:val="0"/>
        <w:rPr>
          <w:rFonts w:ascii="Arial" w:hAnsi="Arial" w:cs="Arial"/>
        </w:rPr>
      </w:pPr>
      <w:r>
        <w:rPr>
          <w:rFonts w:ascii="Arial" w:hAnsi="Arial" w:cs="Arial"/>
        </w:rPr>
        <w:t>The o</w:t>
      </w:r>
      <w:r w:rsidRPr="004737DB">
        <w:rPr>
          <w:rFonts w:ascii="Arial" w:hAnsi="Arial" w:cs="Arial"/>
        </w:rPr>
        <w:t xml:space="preserve">nus is on the plaintiff to prove his or her case.  </w:t>
      </w:r>
    </w:p>
    <w:p w:rsidR="00C2132A" w:rsidRPr="004737DB" w:rsidRDefault="00C2132A" w:rsidP="00C2132A">
      <w:pPr>
        <w:pStyle w:val="ListParagraph"/>
        <w:numPr>
          <w:ilvl w:val="0"/>
          <w:numId w:val="19"/>
        </w:numPr>
        <w:spacing w:after="200"/>
        <w:ind w:hanging="720"/>
        <w:contextualSpacing w:val="0"/>
        <w:rPr>
          <w:rFonts w:ascii="Arial" w:hAnsi="Arial" w:cs="Arial"/>
        </w:rPr>
      </w:pPr>
      <w:r>
        <w:rPr>
          <w:rFonts w:ascii="Arial" w:hAnsi="Arial" w:cs="Arial"/>
        </w:rPr>
        <w:t>On some issues</w:t>
      </w:r>
      <w:r w:rsidRPr="004737DB">
        <w:rPr>
          <w:rFonts w:ascii="Arial" w:hAnsi="Arial" w:cs="Arial"/>
        </w:rPr>
        <w:t xml:space="preserve">, the </w:t>
      </w:r>
      <w:proofErr w:type="spellStart"/>
      <w:r w:rsidRPr="004737DB">
        <w:rPr>
          <w:rFonts w:ascii="Arial" w:hAnsi="Arial" w:cs="Arial"/>
        </w:rPr>
        <w:t>defence</w:t>
      </w:r>
      <w:proofErr w:type="spellEnd"/>
      <w:r w:rsidRPr="004737DB">
        <w:rPr>
          <w:rFonts w:ascii="Arial" w:hAnsi="Arial" w:cs="Arial"/>
        </w:rPr>
        <w:t xml:space="preserve"> will have the onus of proof, usually for cer</w:t>
      </w:r>
      <w:r w:rsidR="00BA7DA9">
        <w:rPr>
          <w:rFonts w:ascii="Arial" w:hAnsi="Arial" w:cs="Arial"/>
        </w:rPr>
        <w:t xml:space="preserve">tain </w:t>
      </w:r>
      <w:proofErr w:type="spellStart"/>
      <w:r w:rsidR="00BA7DA9">
        <w:rPr>
          <w:rFonts w:ascii="Arial" w:hAnsi="Arial" w:cs="Arial"/>
        </w:rPr>
        <w:t>defences</w:t>
      </w:r>
      <w:proofErr w:type="spellEnd"/>
      <w:r w:rsidR="00BA7DA9">
        <w:rPr>
          <w:rFonts w:ascii="Arial" w:hAnsi="Arial" w:cs="Arial"/>
        </w:rPr>
        <w:t xml:space="preserve"> (such as contributory negligence, </w:t>
      </w:r>
      <w:r w:rsidRPr="004737DB">
        <w:rPr>
          <w:rFonts w:ascii="Arial" w:hAnsi="Arial" w:cs="Arial"/>
        </w:rPr>
        <w:t>mitigation).</w:t>
      </w:r>
    </w:p>
    <w:p w:rsidR="00C2132A" w:rsidRPr="004737DB" w:rsidRDefault="003570DB" w:rsidP="002F17FD">
      <w:pPr>
        <w:spacing w:after="200"/>
        <w:ind w:firstLine="360"/>
        <w:rPr>
          <w:rFonts w:ascii="Arial" w:hAnsi="Arial" w:cs="Arial"/>
          <w:b/>
          <w:u w:val="single"/>
        </w:rPr>
      </w:pPr>
      <w:r>
        <w:rPr>
          <w:rFonts w:ascii="Arial" w:hAnsi="Arial" w:cs="Arial"/>
          <w:b/>
          <w:u w:val="single"/>
        </w:rPr>
        <w:t>There are f</w:t>
      </w:r>
      <w:r w:rsidR="00C2132A">
        <w:rPr>
          <w:rFonts w:ascii="Arial" w:hAnsi="Arial" w:cs="Arial"/>
          <w:b/>
          <w:u w:val="single"/>
        </w:rPr>
        <w:t>our</w:t>
      </w:r>
      <w:r w:rsidR="00C2132A" w:rsidRPr="004737DB">
        <w:rPr>
          <w:rFonts w:ascii="Arial" w:hAnsi="Arial" w:cs="Arial"/>
          <w:b/>
          <w:u w:val="single"/>
        </w:rPr>
        <w:t xml:space="preserve"> possible </w:t>
      </w:r>
      <w:r w:rsidR="00096C43">
        <w:rPr>
          <w:rFonts w:ascii="Arial" w:hAnsi="Arial" w:cs="Arial"/>
          <w:b/>
          <w:u w:val="single"/>
        </w:rPr>
        <w:t>SOURCES</w:t>
      </w:r>
      <w:r w:rsidR="00C2132A" w:rsidRPr="004737DB">
        <w:rPr>
          <w:rFonts w:ascii="Arial" w:hAnsi="Arial" w:cs="Arial"/>
          <w:b/>
          <w:u w:val="single"/>
        </w:rPr>
        <w:t xml:space="preserve"> of proof:</w:t>
      </w:r>
    </w:p>
    <w:p w:rsidR="00C2132A" w:rsidRDefault="00C2132A" w:rsidP="00C2132A">
      <w:pPr>
        <w:pStyle w:val="ListParagraph"/>
        <w:numPr>
          <w:ilvl w:val="0"/>
          <w:numId w:val="17"/>
        </w:numPr>
        <w:spacing w:after="200"/>
        <w:contextualSpacing w:val="0"/>
        <w:rPr>
          <w:rFonts w:ascii="Arial" w:hAnsi="Arial" w:cs="Arial"/>
        </w:rPr>
      </w:pPr>
      <w:r w:rsidRPr="004737DB">
        <w:rPr>
          <w:rFonts w:ascii="Arial" w:hAnsi="Arial" w:cs="Arial"/>
        </w:rPr>
        <w:t>Witnesses</w:t>
      </w:r>
      <w:r w:rsidR="002F17FD">
        <w:rPr>
          <w:rFonts w:ascii="Arial" w:hAnsi="Arial" w:cs="Arial"/>
        </w:rPr>
        <w:t xml:space="preserve"> (both lay and expert)</w:t>
      </w:r>
    </w:p>
    <w:p w:rsidR="002F17FD" w:rsidRPr="004737DB" w:rsidRDefault="002F17FD" w:rsidP="002F17FD">
      <w:pPr>
        <w:pStyle w:val="ListParagraph"/>
        <w:numPr>
          <w:ilvl w:val="1"/>
          <w:numId w:val="17"/>
        </w:numPr>
        <w:spacing w:after="200"/>
        <w:contextualSpacing w:val="0"/>
        <w:rPr>
          <w:rFonts w:ascii="Arial" w:hAnsi="Arial" w:cs="Arial"/>
        </w:rPr>
      </w:pPr>
      <w:r>
        <w:rPr>
          <w:rFonts w:ascii="Arial" w:hAnsi="Arial" w:cs="Arial"/>
        </w:rPr>
        <w:t>Your witnesses</w:t>
      </w:r>
      <w:r w:rsidRPr="002F17FD">
        <w:rPr>
          <w:rFonts w:ascii="Arial" w:hAnsi="Arial" w:cs="Arial"/>
        </w:rPr>
        <w:t xml:space="preserve"> </w:t>
      </w:r>
      <w:r>
        <w:rPr>
          <w:rFonts w:ascii="Arial" w:hAnsi="Arial" w:cs="Arial"/>
        </w:rPr>
        <w:t xml:space="preserve">- </w:t>
      </w:r>
      <w:r>
        <w:rPr>
          <w:rFonts w:ascii="Arial" w:hAnsi="Arial" w:cs="Arial"/>
        </w:rPr>
        <w:t>Direct examination</w:t>
      </w:r>
      <w:r>
        <w:rPr>
          <w:rFonts w:ascii="Arial" w:hAnsi="Arial" w:cs="Arial"/>
        </w:rPr>
        <w:t xml:space="preserve"> and re-examination</w:t>
      </w:r>
    </w:p>
    <w:p w:rsidR="002F17FD" w:rsidRDefault="002F17FD" w:rsidP="002F17FD">
      <w:pPr>
        <w:pStyle w:val="ListParagraph"/>
        <w:numPr>
          <w:ilvl w:val="1"/>
          <w:numId w:val="17"/>
        </w:numPr>
        <w:spacing w:after="200"/>
        <w:contextualSpacing w:val="0"/>
        <w:rPr>
          <w:rFonts w:ascii="Arial" w:hAnsi="Arial" w:cs="Arial"/>
        </w:rPr>
      </w:pPr>
      <w:r>
        <w:rPr>
          <w:rFonts w:ascii="Arial" w:hAnsi="Arial" w:cs="Arial"/>
        </w:rPr>
        <w:t>Opposing party’s witnesses – Cross Examination</w:t>
      </w:r>
    </w:p>
    <w:p w:rsidR="00096C43" w:rsidRDefault="00096C43" w:rsidP="002F17FD">
      <w:pPr>
        <w:pStyle w:val="ListParagraph"/>
        <w:numPr>
          <w:ilvl w:val="1"/>
          <w:numId w:val="17"/>
        </w:numPr>
        <w:spacing w:after="200"/>
        <w:contextualSpacing w:val="0"/>
        <w:rPr>
          <w:rFonts w:ascii="Arial" w:hAnsi="Arial" w:cs="Arial"/>
        </w:rPr>
      </w:pPr>
      <w:r>
        <w:rPr>
          <w:rFonts w:ascii="Arial" w:hAnsi="Arial" w:cs="Arial"/>
        </w:rPr>
        <w:t>Discovery read-ins or impeachments</w:t>
      </w:r>
    </w:p>
    <w:p w:rsidR="00C2132A" w:rsidRPr="004737DB" w:rsidRDefault="00C2132A" w:rsidP="00C2132A">
      <w:pPr>
        <w:pStyle w:val="ListParagraph"/>
        <w:numPr>
          <w:ilvl w:val="0"/>
          <w:numId w:val="17"/>
        </w:numPr>
        <w:spacing w:after="200"/>
        <w:contextualSpacing w:val="0"/>
        <w:rPr>
          <w:rFonts w:ascii="Arial" w:hAnsi="Arial" w:cs="Arial"/>
        </w:rPr>
      </w:pPr>
      <w:r w:rsidRPr="004737DB">
        <w:rPr>
          <w:rFonts w:ascii="Arial" w:hAnsi="Arial" w:cs="Arial"/>
        </w:rPr>
        <w:t xml:space="preserve">Exhibits </w:t>
      </w:r>
    </w:p>
    <w:p w:rsidR="00C2132A" w:rsidRPr="004737DB" w:rsidRDefault="00C2132A" w:rsidP="00C2132A">
      <w:pPr>
        <w:pStyle w:val="ListParagraph"/>
        <w:numPr>
          <w:ilvl w:val="1"/>
          <w:numId w:val="17"/>
        </w:numPr>
        <w:spacing w:after="200"/>
        <w:contextualSpacing w:val="0"/>
        <w:rPr>
          <w:rFonts w:ascii="Arial" w:hAnsi="Arial" w:cs="Arial"/>
        </w:rPr>
      </w:pPr>
      <w:r w:rsidRPr="004737DB">
        <w:rPr>
          <w:rFonts w:ascii="Arial" w:hAnsi="Arial" w:cs="Arial"/>
        </w:rPr>
        <w:t>real ob</w:t>
      </w:r>
      <w:r>
        <w:rPr>
          <w:rFonts w:ascii="Arial" w:hAnsi="Arial" w:cs="Arial"/>
        </w:rPr>
        <w:t>jects such as clothing, helmet</w:t>
      </w:r>
    </w:p>
    <w:p w:rsidR="00C2132A" w:rsidRPr="004737DB" w:rsidRDefault="003570DB" w:rsidP="00C2132A">
      <w:pPr>
        <w:pStyle w:val="ListParagraph"/>
        <w:numPr>
          <w:ilvl w:val="1"/>
          <w:numId w:val="17"/>
        </w:numPr>
        <w:spacing w:after="200"/>
        <w:contextualSpacing w:val="0"/>
        <w:rPr>
          <w:rFonts w:ascii="Arial" w:hAnsi="Arial" w:cs="Arial"/>
        </w:rPr>
      </w:pPr>
      <w:r>
        <w:rPr>
          <w:rFonts w:ascii="Arial" w:hAnsi="Arial" w:cs="Arial"/>
        </w:rPr>
        <w:t>audio visual</w:t>
      </w:r>
      <w:r w:rsidR="00C2132A" w:rsidRPr="004737DB">
        <w:rPr>
          <w:rFonts w:ascii="Arial" w:hAnsi="Arial" w:cs="Arial"/>
        </w:rPr>
        <w:t xml:space="preserve"> evidence such as photographs, video</w:t>
      </w:r>
      <w:r w:rsidR="00096C43">
        <w:rPr>
          <w:rFonts w:ascii="Arial" w:hAnsi="Arial" w:cs="Arial"/>
        </w:rPr>
        <w:t>, audio</w:t>
      </w:r>
    </w:p>
    <w:p w:rsidR="00C2132A" w:rsidRPr="00096C43" w:rsidRDefault="002F17FD" w:rsidP="00096C43">
      <w:pPr>
        <w:pStyle w:val="ListParagraph"/>
        <w:numPr>
          <w:ilvl w:val="1"/>
          <w:numId w:val="17"/>
        </w:numPr>
        <w:spacing w:after="200"/>
        <w:contextualSpacing w:val="0"/>
        <w:rPr>
          <w:rFonts w:ascii="Arial" w:hAnsi="Arial" w:cs="Arial"/>
        </w:rPr>
      </w:pPr>
      <w:r>
        <w:rPr>
          <w:rFonts w:ascii="Arial" w:hAnsi="Arial" w:cs="Arial"/>
        </w:rPr>
        <w:lastRenderedPageBreak/>
        <w:t>written documents</w:t>
      </w:r>
      <w:r w:rsidR="00096C43">
        <w:rPr>
          <w:rFonts w:ascii="Arial" w:hAnsi="Arial" w:cs="Arial"/>
        </w:rPr>
        <w:t xml:space="preserve"> and records</w:t>
      </w:r>
      <w:r w:rsidR="00C2132A" w:rsidRPr="004737DB">
        <w:rPr>
          <w:rFonts w:ascii="Arial" w:hAnsi="Arial" w:cs="Arial"/>
        </w:rPr>
        <w:t xml:space="preserve"> such as contracts, letters, reports</w:t>
      </w:r>
      <w:r w:rsidR="00096C43">
        <w:rPr>
          <w:rFonts w:ascii="Arial" w:hAnsi="Arial" w:cs="Arial"/>
        </w:rPr>
        <w:t xml:space="preserve">, </w:t>
      </w:r>
      <w:r w:rsidR="00C2132A" w:rsidRPr="00096C43">
        <w:rPr>
          <w:rFonts w:ascii="Arial" w:hAnsi="Arial" w:cs="Arial"/>
        </w:rPr>
        <w:t>tax returns, clinical records, invoices</w:t>
      </w:r>
    </w:p>
    <w:p w:rsidR="00C2132A" w:rsidRPr="004737DB" w:rsidRDefault="00C2132A" w:rsidP="002F17FD">
      <w:pPr>
        <w:pStyle w:val="ListParagraph"/>
        <w:keepNext/>
        <w:keepLines/>
        <w:numPr>
          <w:ilvl w:val="0"/>
          <w:numId w:val="17"/>
        </w:numPr>
        <w:spacing w:after="240"/>
        <w:contextualSpacing w:val="0"/>
        <w:rPr>
          <w:rFonts w:ascii="Arial" w:hAnsi="Arial" w:cs="Arial"/>
        </w:rPr>
      </w:pPr>
      <w:r w:rsidRPr="004737DB">
        <w:rPr>
          <w:rFonts w:ascii="Arial" w:hAnsi="Arial" w:cs="Arial"/>
        </w:rPr>
        <w:t xml:space="preserve">Judicial notice </w:t>
      </w:r>
    </w:p>
    <w:p w:rsidR="00C2132A" w:rsidRDefault="00C2132A" w:rsidP="002049F4">
      <w:pPr>
        <w:pStyle w:val="ListParagraph"/>
        <w:numPr>
          <w:ilvl w:val="0"/>
          <w:numId w:val="20"/>
        </w:numPr>
        <w:spacing w:after="200"/>
        <w:ind w:left="1080"/>
        <w:contextualSpacing w:val="0"/>
        <w:rPr>
          <w:rFonts w:ascii="Arial" w:hAnsi="Arial" w:cs="Arial"/>
        </w:rPr>
      </w:pPr>
      <w:r>
        <w:rPr>
          <w:rFonts w:ascii="Arial" w:hAnsi="Arial" w:cs="Arial"/>
        </w:rPr>
        <w:t xml:space="preserve">The </w:t>
      </w:r>
      <w:r w:rsidRPr="004737DB">
        <w:rPr>
          <w:rFonts w:ascii="Arial" w:hAnsi="Arial" w:cs="Arial"/>
        </w:rPr>
        <w:t>Court can take judicial notice of certain facts that are widely accepted or can be easily determined and verified by a reliable source a</w:t>
      </w:r>
      <w:r w:rsidR="003570DB">
        <w:rPr>
          <w:rFonts w:ascii="Arial" w:hAnsi="Arial" w:cs="Arial"/>
        </w:rPr>
        <w:t xml:space="preserve">nd </w:t>
      </w:r>
      <w:r w:rsidR="00BA7DA9">
        <w:rPr>
          <w:rFonts w:ascii="Arial" w:hAnsi="Arial" w:cs="Arial"/>
        </w:rPr>
        <w:t>do not</w:t>
      </w:r>
      <w:r w:rsidR="003570DB">
        <w:rPr>
          <w:rFonts w:ascii="Arial" w:hAnsi="Arial" w:cs="Arial"/>
        </w:rPr>
        <w:t xml:space="preserve"> necessitate proof.  </w:t>
      </w:r>
    </w:p>
    <w:p w:rsidR="002F17FD" w:rsidRDefault="002F17FD" w:rsidP="00C2132A">
      <w:pPr>
        <w:pStyle w:val="ListParagraph"/>
        <w:numPr>
          <w:ilvl w:val="0"/>
          <w:numId w:val="17"/>
        </w:numPr>
        <w:spacing w:after="200"/>
        <w:contextualSpacing w:val="0"/>
        <w:rPr>
          <w:rFonts w:ascii="Arial" w:hAnsi="Arial" w:cs="Arial"/>
        </w:rPr>
      </w:pPr>
      <w:r>
        <w:rPr>
          <w:rFonts w:ascii="Arial" w:hAnsi="Arial" w:cs="Arial"/>
        </w:rPr>
        <w:t>Admissions</w:t>
      </w:r>
    </w:p>
    <w:p w:rsidR="00C2132A" w:rsidRDefault="002F17FD" w:rsidP="002F17FD">
      <w:pPr>
        <w:pStyle w:val="ListParagraph"/>
        <w:numPr>
          <w:ilvl w:val="1"/>
          <w:numId w:val="17"/>
        </w:numPr>
        <w:spacing w:after="200"/>
        <w:contextualSpacing w:val="0"/>
        <w:rPr>
          <w:rFonts w:ascii="Arial" w:hAnsi="Arial" w:cs="Arial"/>
        </w:rPr>
      </w:pPr>
      <w:r>
        <w:rPr>
          <w:rFonts w:ascii="Arial" w:hAnsi="Arial" w:cs="Arial"/>
        </w:rPr>
        <w:t>T</w:t>
      </w:r>
      <w:r w:rsidR="00C2132A" w:rsidRPr="004737DB">
        <w:rPr>
          <w:rFonts w:ascii="Arial" w:hAnsi="Arial" w:cs="Arial"/>
        </w:rPr>
        <w:t>he parties may agree that certain facts are agreed and present these admissions to the Court, in which case evidence need not</w:t>
      </w:r>
      <w:r>
        <w:rPr>
          <w:rFonts w:ascii="Arial" w:hAnsi="Arial" w:cs="Arial"/>
        </w:rPr>
        <w:t xml:space="preserve"> be called to prove these facts</w:t>
      </w:r>
      <w:r w:rsidR="00C2132A" w:rsidRPr="004737DB">
        <w:rPr>
          <w:rFonts w:ascii="Arial" w:hAnsi="Arial" w:cs="Arial"/>
        </w:rPr>
        <w:t>.</w:t>
      </w:r>
    </w:p>
    <w:p w:rsidR="002F17FD" w:rsidRDefault="002F17FD" w:rsidP="002F17FD">
      <w:pPr>
        <w:pStyle w:val="ListParagraph"/>
        <w:numPr>
          <w:ilvl w:val="1"/>
          <w:numId w:val="17"/>
        </w:numPr>
        <w:spacing w:after="200"/>
        <w:contextualSpacing w:val="0"/>
        <w:rPr>
          <w:rFonts w:ascii="Arial" w:hAnsi="Arial" w:cs="Arial"/>
        </w:rPr>
      </w:pPr>
      <w:r>
        <w:rPr>
          <w:rFonts w:ascii="Arial" w:hAnsi="Arial" w:cs="Arial"/>
        </w:rPr>
        <w:t>Notices to Admit in advance of trial</w:t>
      </w:r>
    </w:p>
    <w:p w:rsidR="002F17FD" w:rsidRDefault="002F17FD" w:rsidP="002F17FD">
      <w:pPr>
        <w:pStyle w:val="ListParagraph"/>
        <w:numPr>
          <w:ilvl w:val="1"/>
          <w:numId w:val="17"/>
        </w:numPr>
        <w:spacing w:after="200"/>
        <w:contextualSpacing w:val="0"/>
        <w:rPr>
          <w:rFonts w:ascii="Arial" w:hAnsi="Arial" w:cs="Arial"/>
        </w:rPr>
      </w:pPr>
      <w:r>
        <w:rPr>
          <w:rFonts w:ascii="Arial" w:hAnsi="Arial" w:cs="Arial"/>
        </w:rPr>
        <w:t>Pleadings</w:t>
      </w:r>
    </w:p>
    <w:p w:rsidR="002F17FD" w:rsidRDefault="002F17FD" w:rsidP="002F17FD">
      <w:pPr>
        <w:pStyle w:val="Default"/>
        <w:keepNext/>
        <w:keepLines/>
        <w:numPr>
          <w:ilvl w:val="1"/>
          <w:numId w:val="1"/>
        </w:numPr>
        <w:spacing w:after="240"/>
        <w:jc w:val="both"/>
        <w:rPr>
          <w:rFonts w:ascii="Arial" w:hAnsi="Arial" w:cs="Arial"/>
          <w:b/>
          <w:sz w:val="28"/>
        </w:rPr>
      </w:pPr>
      <w:r>
        <w:rPr>
          <w:rFonts w:ascii="Arial" w:hAnsi="Arial" w:cs="Arial"/>
          <w:b/>
          <w:sz w:val="28"/>
        </w:rPr>
        <w:t>Witnesses</w:t>
      </w:r>
    </w:p>
    <w:p w:rsidR="00400072" w:rsidRDefault="00400072" w:rsidP="002049F4">
      <w:pPr>
        <w:pStyle w:val="ListParagraph"/>
        <w:numPr>
          <w:ilvl w:val="0"/>
          <w:numId w:val="18"/>
        </w:numPr>
        <w:spacing w:after="200"/>
        <w:contextualSpacing w:val="0"/>
        <w:rPr>
          <w:rFonts w:ascii="Arial" w:hAnsi="Arial" w:cs="Arial"/>
        </w:rPr>
      </w:pPr>
      <w:r>
        <w:rPr>
          <w:rFonts w:ascii="Arial" w:hAnsi="Arial" w:cs="Arial"/>
        </w:rPr>
        <w:t>A witness must be listed in a witness list or leave is required</w:t>
      </w:r>
    </w:p>
    <w:p w:rsidR="00400072" w:rsidRDefault="00400072" w:rsidP="00400072">
      <w:pPr>
        <w:pStyle w:val="ListParagraph"/>
        <w:numPr>
          <w:ilvl w:val="1"/>
          <w:numId w:val="18"/>
        </w:numPr>
        <w:spacing w:after="200"/>
        <w:contextualSpacing w:val="0"/>
        <w:rPr>
          <w:rFonts w:ascii="Arial" w:hAnsi="Arial" w:cs="Arial"/>
        </w:rPr>
      </w:pPr>
      <w:r>
        <w:rPr>
          <w:rFonts w:ascii="Arial" w:hAnsi="Arial" w:cs="Arial"/>
          <w:i/>
        </w:rPr>
        <w:t>T.S. v. Gough</w:t>
      </w:r>
      <w:r w:rsidR="008E7D0E">
        <w:rPr>
          <w:rFonts w:ascii="Arial" w:hAnsi="Arial" w:cs="Arial"/>
        </w:rPr>
        <w:t>:</w:t>
      </w:r>
      <w:r>
        <w:rPr>
          <w:rFonts w:ascii="Arial" w:hAnsi="Arial" w:cs="Arial"/>
        </w:rPr>
        <w:t xml:space="preserve"> ICBC failed to comply with TMC Order </w:t>
      </w:r>
      <w:r w:rsidR="008E7D0E">
        <w:rPr>
          <w:rFonts w:ascii="Arial" w:hAnsi="Arial" w:cs="Arial"/>
        </w:rPr>
        <w:t xml:space="preserve">or Rule </w:t>
      </w:r>
      <w:r w:rsidR="008E7D0E">
        <w:rPr>
          <w:rFonts w:ascii="Arial" w:hAnsi="Arial" w:cs="Arial"/>
        </w:rPr>
        <w:t>12-5(28)</w:t>
      </w:r>
    </w:p>
    <w:p w:rsidR="00C2132A" w:rsidRPr="002049F4" w:rsidRDefault="002049F4" w:rsidP="00400072">
      <w:pPr>
        <w:pStyle w:val="ListParagraph"/>
        <w:numPr>
          <w:ilvl w:val="0"/>
          <w:numId w:val="18"/>
        </w:numPr>
        <w:spacing w:after="200"/>
        <w:contextualSpacing w:val="0"/>
        <w:jc w:val="both"/>
        <w:rPr>
          <w:rFonts w:ascii="Arial" w:hAnsi="Arial" w:cs="Arial"/>
        </w:rPr>
      </w:pPr>
      <w:r>
        <w:rPr>
          <w:rFonts w:ascii="Arial" w:hAnsi="Arial" w:cs="Arial"/>
        </w:rPr>
        <w:t xml:space="preserve">Witnesses, </w:t>
      </w:r>
      <w:r w:rsidR="00C2132A" w:rsidRPr="004737DB">
        <w:rPr>
          <w:rFonts w:ascii="Arial" w:hAnsi="Arial" w:cs="Arial"/>
        </w:rPr>
        <w:t>what they have to say</w:t>
      </w:r>
      <w:r>
        <w:rPr>
          <w:rFonts w:ascii="Arial" w:hAnsi="Arial" w:cs="Arial"/>
        </w:rPr>
        <w:t>, and how they say it</w:t>
      </w:r>
      <w:r w:rsidR="00C2132A" w:rsidRPr="004737DB">
        <w:rPr>
          <w:rFonts w:ascii="Arial" w:hAnsi="Arial" w:cs="Arial"/>
        </w:rPr>
        <w:t xml:space="preserve"> are critical to the outcome of</w:t>
      </w:r>
      <w:r>
        <w:rPr>
          <w:rFonts w:ascii="Arial" w:hAnsi="Arial" w:cs="Arial"/>
        </w:rPr>
        <w:t xml:space="preserve"> any</w:t>
      </w:r>
      <w:r w:rsidR="00C2132A" w:rsidRPr="004737DB">
        <w:rPr>
          <w:rFonts w:ascii="Arial" w:hAnsi="Arial" w:cs="Arial"/>
        </w:rPr>
        <w:t xml:space="preserve"> trial.  </w:t>
      </w:r>
      <w:r>
        <w:rPr>
          <w:rFonts w:ascii="Arial" w:hAnsi="Arial" w:cs="Arial"/>
        </w:rPr>
        <w:t xml:space="preserve">A case is only as good as its facts, and the facts are usually solicited from the witnesses. </w:t>
      </w:r>
    </w:p>
    <w:p w:rsidR="00C2132A" w:rsidRPr="004737DB" w:rsidRDefault="002049F4" w:rsidP="00C2132A">
      <w:pPr>
        <w:pStyle w:val="ListParagraph"/>
        <w:numPr>
          <w:ilvl w:val="0"/>
          <w:numId w:val="18"/>
        </w:numPr>
        <w:spacing w:after="200"/>
        <w:contextualSpacing w:val="0"/>
        <w:rPr>
          <w:rFonts w:ascii="Arial" w:hAnsi="Arial" w:cs="Arial"/>
        </w:rPr>
      </w:pPr>
      <w:r>
        <w:rPr>
          <w:rFonts w:ascii="Arial" w:hAnsi="Arial" w:cs="Arial"/>
        </w:rPr>
        <w:t>Scheduling</w:t>
      </w:r>
      <w:r w:rsidR="00C2132A" w:rsidRPr="004737DB">
        <w:rPr>
          <w:rFonts w:ascii="Arial" w:hAnsi="Arial" w:cs="Arial"/>
        </w:rPr>
        <w:t xml:space="preserve"> of witnesses</w:t>
      </w:r>
    </w:p>
    <w:p w:rsidR="00DE50F8" w:rsidRPr="004737DB" w:rsidRDefault="00DE50F8" w:rsidP="00DE50F8">
      <w:pPr>
        <w:pStyle w:val="ListParagraph"/>
        <w:numPr>
          <w:ilvl w:val="1"/>
          <w:numId w:val="18"/>
        </w:numPr>
        <w:spacing w:after="200"/>
        <w:contextualSpacing w:val="0"/>
        <w:rPr>
          <w:rFonts w:ascii="Arial" w:hAnsi="Arial" w:cs="Arial"/>
        </w:rPr>
      </w:pPr>
      <w:r>
        <w:rPr>
          <w:rFonts w:ascii="Arial" w:hAnsi="Arial" w:cs="Arial"/>
        </w:rPr>
        <w:t>Logical sequencing: telling the story is important.</w:t>
      </w:r>
    </w:p>
    <w:p w:rsidR="00DE50F8" w:rsidRPr="004737DB" w:rsidRDefault="00DE50F8" w:rsidP="00DE50F8">
      <w:pPr>
        <w:pStyle w:val="ListParagraph"/>
        <w:numPr>
          <w:ilvl w:val="1"/>
          <w:numId w:val="18"/>
        </w:numPr>
        <w:spacing w:after="200"/>
        <w:contextualSpacing w:val="0"/>
        <w:rPr>
          <w:rFonts w:ascii="Arial" w:hAnsi="Arial" w:cs="Arial"/>
        </w:rPr>
      </w:pPr>
      <w:r>
        <w:rPr>
          <w:rFonts w:ascii="Arial" w:hAnsi="Arial" w:cs="Arial"/>
        </w:rPr>
        <w:t>Logistics: witness availability can be a challenge.</w:t>
      </w:r>
    </w:p>
    <w:p w:rsidR="008E3599" w:rsidRPr="00A4673F" w:rsidRDefault="00DE50F8" w:rsidP="00A4673F">
      <w:pPr>
        <w:pStyle w:val="ListParagraph"/>
        <w:numPr>
          <w:ilvl w:val="1"/>
          <w:numId w:val="18"/>
        </w:numPr>
        <w:spacing w:after="200"/>
        <w:contextualSpacing w:val="0"/>
        <w:jc w:val="both"/>
        <w:rPr>
          <w:rFonts w:ascii="Arial" w:hAnsi="Arial" w:cs="Arial"/>
        </w:rPr>
      </w:pPr>
      <w:r>
        <w:rPr>
          <w:rFonts w:ascii="Arial" w:hAnsi="Arial" w:cs="Arial"/>
        </w:rPr>
        <w:t>The court has been critical of plaintiff’s counsel who do not call the plaintiff as the first witness.</w:t>
      </w:r>
      <w:r w:rsidR="00A4673F">
        <w:rPr>
          <w:rFonts w:ascii="Arial" w:hAnsi="Arial" w:cs="Arial"/>
        </w:rPr>
        <w:t xml:space="preserve">  </w:t>
      </w:r>
      <w:r w:rsidR="008E3599" w:rsidRPr="00A4673F">
        <w:rPr>
          <w:rFonts w:ascii="Arial" w:hAnsi="Arial" w:cs="Arial"/>
        </w:rPr>
        <w:t xml:space="preserve">For example, see </w:t>
      </w:r>
      <w:r w:rsidR="008E3599" w:rsidRPr="00A4673F">
        <w:rPr>
          <w:rFonts w:ascii="Arial" w:hAnsi="Arial" w:cs="Arial"/>
          <w:i/>
        </w:rPr>
        <w:t xml:space="preserve">Gustafson v. Davis, </w:t>
      </w:r>
      <w:r w:rsidR="008E3599" w:rsidRPr="00A4673F">
        <w:rPr>
          <w:rFonts w:ascii="Arial" w:hAnsi="Arial" w:cs="Arial"/>
          <w:color w:val="000000"/>
        </w:rPr>
        <w:t>2012 BCSC 1576</w:t>
      </w:r>
      <w:r w:rsidR="00A4673F">
        <w:rPr>
          <w:rFonts w:ascii="Arial" w:hAnsi="Arial" w:cs="Arial"/>
          <w:color w:val="000000"/>
        </w:rPr>
        <w:t>, at paras. 114</w:t>
      </w:r>
      <w:r w:rsidR="008E3599" w:rsidRPr="00A4673F">
        <w:rPr>
          <w:rFonts w:ascii="Arial" w:hAnsi="Arial" w:cs="Arial"/>
          <w:color w:val="000000"/>
        </w:rPr>
        <w:t xml:space="preserve">: </w:t>
      </w:r>
    </w:p>
    <w:p w:rsidR="00EC3719" w:rsidRPr="00EC3719" w:rsidRDefault="00EC3719" w:rsidP="00C76C1B">
      <w:pPr>
        <w:autoSpaceDE w:val="0"/>
        <w:autoSpaceDN w:val="0"/>
        <w:adjustRightInd w:val="0"/>
        <w:spacing w:after="240"/>
        <w:ind w:left="1800"/>
        <w:rPr>
          <w:rFonts w:ascii="Arial" w:eastAsiaTheme="minorHAnsi" w:hAnsi="Arial" w:cs="Arial"/>
          <w:i/>
          <w:color w:val="000000"/>
          <w:szCs w:val="23"/>
        </w:rPr>
      </w:pPr>
      <w:r w:rsidRPr="00EC3719">
        <w:rPr>
          <w:rFonts w:ascii="Arial" w:eastAsiaTheme="minorHAnsi" w:hAnsi="Arial" w:cs="Arial"/>
          <w:i/>
          <w:color w:val="000000"/>
          <w:szCs w:val="23"/>
        </w:rPr>
        <w:t xml:space="preserve">[112] Ms. Bartholomew, Ms. Hunter, Mr. </w:t>
      </w:r>
      <w:proofErr w:type="spellStart"/>
      <w:r w:rsidRPr="00EC3719">
        <w:rPr>
          <w:rFonts w:ascii="Arial" w:eastAsiaTheme="minorHAnsi" w:hAnsi="Arial" w:cs="Arial"/>
          <w:i/>
          <w:color w:val="000000"/>
          <w:szCs w:val="23"/>
        </w:rPr>
        <w:t>Sivertson</w:t>
      </w:r>
      <w:proofErr w:type="spellEnd"/>
      <w:r w:rsidRPr="00EC3719">
        <w:rPr>
          <w:rFonts w:ascii="Arial" w:eastAsiaTheme="minorHAnsi" w:hAnsi="Arial" w:cs="Arial"/>
          <w:i/>
          <w:color w:val="000000"/>
          <w:szCs w:val="23"/>
        </w:rPr>
        <w:t xml:space="preserve">, Mr. Gustafson, a teaching colleague, and Ms. Gustafson’s family practitioner, Dr. </w:t>
      </w:r>
      <w:proofErr w:type="spellStart"/>
      <w:r w:rsidRPr="00EC3719">
        <w:rPr>
          <w:rFonts w:ascii="Arial" w:eastAsiaTheme="minorHAnsi" w:hAnsi="Arial" w:cs="Arial"/>
          <w:i/>
          <w:color w:val="000000"/>
          <w:szCs w:val="23"/>
        </w:rPr>
        <w:t>Verbonac</w:t>
      </w:r>
      <w:proofErr w:type="spellEnd"/>
      <w:r w:rsidRPr="00EC3719">
        <w:rPr>
          <w:rFonts w:ascii="Arial" w:eastAsiaTheme="minorHAnsi" w:hAnsi="Arial" w:cs="Arial"/>
          <w:i/>
          <w:color w:val="000000"/>
          <w:szCs w:val="23"/>
        </w:rPr>
        <w:t xml:space="preserve">, were called before Ms. Gustafson went into the witness box. Much of their evidence was hearsay and consisted of subjective complaints and accounts by Ms. Gustafson to them. As the court mentioned several times to counsel for Ms. Gustafson, it would have been helpful to hear her first, before the substance of her evidence was given second hand by other witnesses while she listened to it and to the issues that arose during cross-examination. </w:t>
      </w:r>
    </w:p>
    <w:p w:rsidR="00EC3719" w:rsidRPr="00EC3719" w:rsidRDefault="00EC3719" w:rsidP="00EC3719">
      <w:pPr>
        <w:autoSpaceDE w:val="0"/>
        <w:autoSpaceDN w:val="0"/>
        <w:adjustRightInd w:val="0"/>
        <w:spacing w:after="240"/>
        <w:ind w:left="1800"/>
        <w:rPr>
          <w:rStyle w:val="Emphasis"/>
          <w:rFonts w:ascii="Arial" w:eastAsiaTheme="minorHAnsi" w:hAnsi="Arial" w:cs="Arial"/>
          <w:iCs w:val="0"/>
          <w:color w:val="000000"/>
          <w:szCs w:val="23"/>
        </w:rPr>
      </w:pPr>
      <w:r w:rsidRPr="00EC3719">
        <w:rPr>
          <w:rFonts w:ascii="Arial" w:eastAsiaTheme="minorHAnsi" w:hAnsi="Arial" w:cs="Arial"/>
          <w:i/>
          <w:color w:val="000000"/>
          <w:szCs w:val="23"/>
        </w:rPr>
        <w:t xml:space="preserve">[113] Aside from their recounting of things Ms. Gustafson had told them, these witnesses also had their own observations to make. While their observations of Ms. Gustafson are not hearsay, that evidence </w:t>
      </w:r>
      <w:r w:rsidRPr="00EC3719">
        <w:rPr>
          <w:rFonts w:ascii="Arial" w:eastAsiaTheme="minorHAnsi" w:hAnsi="Arial" w:cs="Arial"/>
          <w:i/>
          <w:color w:val="000000"/>
          <w:szCs w:val="23"/>
        </w:rPr>
        <w:lastRenderedPageBreak/>
        <w:t xml:space="preserve">was given without the benefit of Ms. Gustafson’s presentation and her first hand testimony, and was difficult to put into a meaningful context, not having heard her testify. </w:t>
      </w:r>
    </w:p>
    <w:p w:rsidR="008E3599" w:rsidRPr="00152CF8" w:rsidRDefault="008E3599" w:rsidP="00A4673F">
      <w:pPr>
        <w:pStyle w:val="ListParagraph"/>
        <w:spacing w:after="240"/>
        <w:ind w:left="1800"/>
        <w:contextualSpacing w:val="0"/>
        <w:jc w:val="both"/>
        <w:rPr>
          <w:rStyle w:val="Emphasis"/>
          <w:rFonts w:ascii="Arial" w:hAnsi="Arial" w:cs="Arial"/>
          <w:shd w:val="clear" w:color="auto" w:fill="FFFFFF"/>
        </w:rPr>
      </w:pPr>
      <w:r w:rsidRPr="00152CF8">
        <w:rPr>
          <w:rStyle w:val="Emphasis"/>
          <w:rFonts w:ascii="Arial" w:hAnsi="Arial" w:cs="Arial"/>
          <w:shd w:val="clear" w:color="auto" w:fill="FFFFFF"/>
        </w:rPr>
        <w:t>[114]  Counsel has the responsibility to present his case as he sees fit and the court understands if obstacles are created by scheduling difficulties for expert and out of town witnesses, or other unavailability. However, from the point of view of a trier of fact, it is not only frustrating and even confusing to listen to evidence without a context, it can have an impact on the value of all of the evidence.</w:t>
      </w:r>
    </w:p>
    <w:p w:rsidR="008E3599" w:rsidRPr="00152CF8" w:rsidRDefault="008E3599" w:rsidP="00A4673F">
      <w:pPr>
        <w:pStyle w:val="ListParagraph"/>
        <w:spacing w:after="240"/>
        <w:ind w:left="1800"/>
        <w:contextualSpacing w:val="0"/>
        <w:jc w:val="both"/>
        <w:rPr>
          <w:rStyle w:val="Emphasis"/>
          <w:rFonts w:ascii="Arial" w:hAnsi="Arial" w:cs="Arial"/>
          <w:shd w:val="clear" w:color="auto" w:fill="FFFFFF"/>
        </w:rPr>
      </w:pPr>
      <w:r w:rsidRPr="00152CF8">
        <w:rPr>
          <w:rStyle w:val="Emphasis"/>
          <w:rFonts w:ascii="Arial" w:hAnsi="Arial" w:cs="Arial"/>
          <w:shd w:val="clear" w:color="auto" w:fill="FFFFFF"/>
        </w:rPr>
        <w:t>[115]  The practice of calling the plaintiff first is longstanding and is a common theme in advocacy texts for reasons that resonate with, and are often written by, trial judges. I refer, for example, to § 25.8 of Fraser, Horn &amp; Griffin, The Conduct of Civil Litigation in British Columbia, 2</w:t>
      </w:r>
      <w:r w:rsidRPr="00152CF8">
        <w:rPr>
          <w:rStyle w:val="Emphasis"/>
          <w:rFonts w:ascii="Arial" w:hAnsi="Arial" w:cs="Arial"/>
          <w:shd w:val="clear" w:color="auto" w:fill="FFFFFF"/>
          <w:vertAlign w:val="superscript"/>
        </w:rPr>
        <w:t>nd</w:t>
      </w:r>
      <w:r w:rsidRPr="00152CF8">
        <w:rPr>
          <w:rStyle w:val="Emphasis"/>
          <w:rFonts w:ascii="Arial" w:hAnsi="Arial" w:cs="Arial"/>
          <w:shd w:val="clear" w:color="auto" w:fill="FFFFFF"/>
        </w:rPr>
        <w:t xml:space="preserve"> ed. (Markham, </w:t>
      </w:r>
      <w:proofErr w:type="spellStart"/>
      <w:r w:rsidRPr="00152CF8">
        <w:rPr>
          <w:rStyle w:val="Emphasis"/>
          <w:rFonts w:ascii="Arial" w:hAnsi="Arial" w:cs="Arial"/>
          <w:shd w:val="clear" w:color="auto" w:fill="FFFFFF"/>
        </w:rPr>
        <w:t>Ont</w:t>
      </w:r>
      <w:proofErr w:type="spellEnd"/>
      <w:r w:rsidRPr="00152CF8">
        <w:rPr>
          <w:rStyle w:val="Emphasis"/>
          <w:rFonts w:ascii="Arial" w:hAnsi="Arial" w:cs="Arial"/>
          <w:shd w:val="clear" w:color="auto" w:fill="FFFFFF"/>
        </w:rPr>
        <w:t xml:space="preserve">: Lexis </w:t>
      </w:r>
      <w:proofErr w:type="spellStart"/>
      <w:r w:rsidRPr="00152CF8">
        <w:rPr>
          <w:rStyle w:val="Emphasis"/>
          <w:rFonts w:ascii="Arial" w:hAnsi="Arial" w:cs="Arial"/>
          <w:shd w:val="clear" w:color="auto" w:fill="FFFFFF"/>
        </w:rPr>
        <w:t>Nexis</w:t>
      </w:r>
      <w:proofErr w:type="spellEnd"/>
      <w:r w:rsidRPr="00152CF8">
        <w:rPr>
          <w:rStyle w:val="Emphasis"/>
          <w:rFonts w:ascii="Arial" w:hAnsi="Arial" w:cs="Arial"/>
          <w:shd w:val="clear" w:color="auto" w:fill="FFFFFF"/>
        </w:rPr>
        <w:t xml:space="preserve"> Canada Inc., 2007):</w:t>
      </w:r>
      <w:r w:rsidRPr="00152CF8">
        <w:rPr>
          <w:rFonts w:ascii="Arial" w:hAnsi="Arial" w:cs="Arial"/>
        </w:rPr>
        <w:br/>
      </w:r>
      <w:r w:rsidRPr="00152CF8">
        <w:rPr>
          <w:rStyle w:val="Emphasis"/>
          <w:rFonts w:ascii="Arial" w:hAnsi="Arial" w:cs="Arial"/>
          <w:shd w:val="clear" w:color="auto" w:fill="FFFFFF"/>
        </w:rPr>
        <w:t>Unsurprisingly, if a plaintiff is called as the first witness for his case, he tends to have more credibility than if he is called as the last witness, because of his opportunity, in the latter situation, to tailor his evidence to the evidence of the witnesses who have gone before him.</w:t>
      </w:r>
      <w:r w:rsidRPr="00152CF8">
        <w:rPr>
          <w:rFonts w:ascii="Arial" w:hAnsi="Arial" w:cs="Arial"/>
        </w:rPr>
        <w:br/>
      </w:r>
      <w:r w:rsidRPr="00152CF8">
        <w:rPr>
          <w:rStyle w:val="Emphasis"/>
          <w:rFonts w:ascii="Arial" w:hAnsi="Arial" w:cs="Arial"/>
          <w:shd w:val="clear" w:color="auto" w:fill="FFFFFF"/>
        </w:rPr>
        <w:t>and to s. 8.20 of the British Columbia Civil Trial Handbook, 2</w:t>
      </w:r>
      <w:r w:rsidRPr="00152CF8">
        <w:rPr>
          <w:rStyle w:val="Emphasis"/>
          <w:rFonts w:ascii="Arial" w:hAnsi="Arial" w:cs="Arial"/>
          <w:shd w:val="clear" w:color="auto" w:fill="FFFFFF"/>
          <w:vertAlign w:val="superscript"/>
        </w:rPr>
        <w:t>nd</w:t>
      </w:r>
      <w:r w:rsidRPr="00152CF8">
        <w:rPr>
          <w:rStyle w:val="Emphasis"/>
          <w:rFonts w:ascii="Arial" w:hAnsi="Arial" w:cs="Arial"/>
          <w:shd w:val="clear" w:color="auto" w:fill="FFFFFF"/>
        </w:rPr>
        <w:t xml:space="preserve"> ed. (Vancouver: The Continuing Legal Education Society </w:t>
      </w:r>
      <w:proofErr w:type="spellStart"/>
      <w:r w:rsidRPr="00152CF8">
        <w:rPr>
          <w:rStyle w:val="Emphasis"/>
          <w:rFonts w:ascii="Arial" w:hAnsi="Arial" w:cs="Arial"/>
          <w:shd w:val="clear" w:color="auto" w:fill="FFFFFF"/>
        </w:rPr>
        <w:t>ofBritish</w:t>
      </w:r>
      <w:proofErr w:type="spellEnd"/>
      <w:r w:rsidRPr="00152CF8">
        <w:rPr>
          <w:rStyle w:val="Emphasis"/>
          <w:rFonts w:ascii="Arial" w:hAnsi="Arial" w:cs="Arial"/>
          <w:shd w:val="clear" w:color="auto" w:fill="FFFFFF"/>
        </w:rPr>
        <w:t xml:space="preserve"> Columbia, 2005):</w:t>
      </w:r>
    </w:p>
    <w:p w:rsidR="00152CF8" w:rsidRPr="00152CF8" w:rsidRDefault="008E3599" w:rsidP="00152CF8">
      <w:pPr>
        <w:pStyle w:val="ListParagraph"/>
        <w:spacing w:after="240"/>
        <w:ind w:left="2520" w:right="720"/>
        <w:contextualSpacing w:val="0"/>
        <w:jc w:val="both"/>
        <w:rPr>
          <w:rFonts w:ascii="Arial" w:hAnsi="Arial" w:cs="Arial"/>
        </w:rPr>
      </w:pPr>
      <w:r w:rsidRPr="00152CF8">
        <w:rPr>
          <w:rStyle w:val="Emphasis"/>
          <w:rFonts w:ascii="Arial" w:hAnsi="Arial" w:cs="Arial"/>
          <w:shd w:val="clear" w:color="auto" w:fill="FFFFFF"/>
        </w:rPr>
        <w:t xml:space="preserve">In many cases the plaintiff will be called first, such as in a non-catastrophic injury case or a family case. One reason for this choice is that the </w:t>
      </w:r>
      <w:proofErr w:type="spellStart"/>
      <w:r w:rsidRPr="00152CF8">
        <w:rPr>
          <w:rStyle w:val="Emphasis"/>
          <w:rFonts w:ascii="Arial" w:hAnsi="Arial" w:cs="Arial"/>
          <w:shd w:val="clear" w:color="auto" w:fill="FFFFFF"/>
        </w:rPr>
        <w:t>decision</w:t>
      </w:r>
      <w:r w:rsidRPr="00152CF8">
        <w:rPr>
          <w:rStyle w:val="Emphasis"/>
          <w:rFonts w:ascii="Arial" w:hAnsi="Arial" w:cs="Arial"/>
          <w:shd w:val="clear" w:color="auto" w:fill="FFFFFF"/>
        </w:rPr>
        <w:softHyphen/>
        <w:t>maker</w:t>
      </w:r>
      <w:proofErr w:type="spellEnd"/>
      <w:r w:rsidRPr="00152CF8">
        <w:rPr>
          <w:rStyle w:val="Emphasis"/>
          <w:rFonts w:ascii="Arial" w:hAnsi="Arial" w:cs="Arial"/>
          <w:shd w:val="clear" w:color="auto" w:fill="FFFFFF"/>
        </w:rPr>
        <w:t xml:space="preserve"> usually wants to see the plaintiff to get a sense of the case, and may pay less attention to other witnesses if impatiently awaiting the plaintiff.</w:t>
      </w:r>
    </w:p>
    <w:p w:rsidR="00152CF8" w:rsidRPr="00152CF8" w:rsidRDefault="008E3599" w:rsidP="00152CF8">
      <w:pPr>
        <w:spacing w:after="240"/>
        <w:ind w:left="1800"/>
        <w:jc w:val="both"/>
        <w:rPr>
          <w:rStyle w:val="Emphasis"/>
          <w:rFonts w:ascii="Arial" w:hAnsi="Arial" w:cs="Arial"/>
          <w:shd w:val="clear" w:color="auto" w:fill="FFFFFF"/>
        </w:rPr>
      </w:pPr>
      <w:r w:rsidRPr="00152CF8">
        <w:rPr>
          <w:rStyle w:val="Emphasis"/>
          <w:rFonts w:ascii="Arial" w:hAnsi="Arial" w:cs="Arial"/>
          <w:shd w:val="clear" w:color="auto" w:fill="FFFFFF"/>
        </w:rPr>
        <w:t xml:space="preserve">and to Donald S. Ferguson, ed., Ontario Courtroom Procedure (Markham, Ont.: Lexis </w:t>
      </w:r>
      <w:proofErr w:type="spellStart"/>
      <w:r w:rsidRPr="00152CF8">
        <w:rPr>
          <w:rStyle w:val="Emphasis"/>
          <w:rFonts w:ascii="Arial" w:hAnsi="Arial" w:cs="Arial"/>
          <w:shd w:val="clear" w:color="auto" w:fill="FFFFFF"/>
        </w:rPr>
        <w:t>Nexis</w:t>
      </w:r>
      <w:proofErr w:type="spellEnd"/>
      <w:r w:rsidRPr="00152CF8">
        <w:rPr>
          <w:rStyle w:val="Emphasis"/>
          <w:rFonts w:ascii="Arial" w:hAnsi="Arial" w:cs="Arial"/>
          <w:shd w:val="clear" w:color="auto" w:fill="FFFFFF"/>
        </w:rPr>
        <w:t xml:space="preserve"> Canada Inc., 2007) at p. 815:</w:t>
      </w:r>
    </w:p>
    <w:p w:rsidR="008E3599" w:rsidRPr="00152CF8" w:rsidRDefault="008E3599" w:rsidP="00152CF8">
      <w:pPr>
        <w:pStyle w:val="ListParagraph"/>
        <w:spacing w:after="240"/>
        <w:ind w:left="2520" w:right="720"/>
        <w:contextualSpacing w:val="0"/>
        <w:jc w:val="both"/>
        <w:rPr>
          <w:rStyle w:val="Emphasis"/>
          <w:rFonts w:ascii="Arial" w:hAnsi="Arial" w:cs="Arial"/>
          <w:shd w:val="clear" w:color="auto" w:fill="FFFFFF"/>
        </w:rPr>
      </w:pPr>
      <w:r w:rsidRPr="00152CF8">
        <w:rPr>
          <w:rStyle w:val="Emphasis"/>
          <w:rFonts w:ascii="Arial" w:hAnsi="Arial" w:cs="Arial"/>
          <w:shd w:val="clear" w:color="auto" w:fill="FFFFFF"/>
        </w:rPr>
        <w:t>It is common for counsel to call their party as their first witness to avoid any submission that the party may have tailored his or her testimony to that of other witnesses.</w:t>
      </w:r>
    </w:p>
    <w:p w:rsidR="008E3599" w:rsidRPr="00152CF8" w:rsidRDefault="008E3599" w:rsidP="008E3599">
      <w:pPr>
        <w:pStyle w:val="ListParagraph"/>
        <w:spacing w:after="240"/>
        <w:ind w:left="1800"/>
        <w:contextualSpacing w:val="0"/>
        <w:rPr>
          <w:rStyle w:val="Emphasis"/>
          <w:rFonts w:ascii="Arial" w:hAnsi="Arial" w:cs="Arial"/>
          <w:shd w:val="clear" w:color="auto" w:fill="FFFFFF"/>
        </w:rPr>
      </w:pPr>
      <w:r w:rsidRPr="00152CF8">
        <w:rPr>
          <w:rStyle w:val="Emphasis"/>
          <w:rFonts w:ascii="Arial" w:hAnsi="Arial" w:cs="Arial"/>
          <w:shd w:val="clear" w:color="auto" w:fill="FFFFFF"/>
        </w:rPr>
        <w:t xml:space="preserve">[116]   If persuasion is the objective, and if it rests largely on the </w:t>
      </w:r>
      <w:r w:rsidR="00152CF8" w:rsidRPr="00152CF8">
        <w:rPr>
          <w:rStyle w:val="Emphasis"/>
          <w:rFonts w:ascii="Arial" w:hAnsi="Arial" w:cs="Arial"/>
          <w:shd w:val="clear" w:color="auto" w:fill="FFFFFF"/>
        </w:rPr>
        <w:t>c</w:t>
      </w:r>
      <w:r w:rsidRPr="00152CF8">
        <w:rPr>
          <w:rStyle w:val="Emphasis"/>
          <w:rFonts w:ascii="Arial" w:hAnsi="Arial" w:cs="Arial"/>
          <w:shd w:val="clear" w:color="auto" w:fill="FFFFFF"/>
        </w:rPr>
        <w:t xml:space="preserve">redibility of the plaintiff, counsel might give consideration to the practical and sensible course suggested by experience and this </w:t>
      </w:r>
      <w:r w:rsidR="00152CF8" w:rsidRPr="00152CF8">
        <w:rPr>
          <w:rStyle w:val="Emphasis"/>
          <w:rFonts w:ascii="Arial" w:hAnsi="Arial" w:cs="Arial"/>
          <w:shd w:val="clear" w:color="auto" w:fill="FFFFFF"/>
        </w:rPr>
        <w:t>c</w:t>
      </w:r>
      <w:r w:rsidRPr="00152CF8">
        <w:rPr>
          <w:rStyle w:val="Emphasis"/>
          <w:rFonts w:ascii="Arial" w:hAnsi="Arial" w:cs="Arial"/>
          <w:shd w:val="clear" w:color="auto" w:fill="FFFFFF"/>
        </w:rPr>
        <w:t>ommon sense advice.</w:t>
      </w:r>
    </w:p>
    <w:p w:rsidR="00C2132A" w:rsidRPr="004737DB" w:rsidRDefault="00C2132A" w:rsidP="00400072">
      <w:pPr>
        <w:keepNext/>
        <w:keepLines/>
        <w:spacing w:after="240"/>
        <w:rPr>
          <w:rFonts w:ascii="Arial" w:hAnsi="Arial" w:cs="Arial"/>
        </w:rPr>
      </w:pPr>
      <w:r w:rsidRPr="004737DB">
        <w:rPr>
          <w:rFonts w:ascii="Arial" w:hAnsi="Arial" w:cs="Arial"/>
        </w:rPr>
        <w:t>How a witness testifies:</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Logistics – takes the stand when called, sworn or affirm, then sits down in witness box.</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lastRenderedPageBreak/>
        <w:t>Examination in chief or direct examination begins.</w:t>
      </w:r>
      <w:r w:rsidR="00152CF8">
        <w:rPr>
          <w:rFonts w:ascii="Arial" w:hAnsi="Arial" w:cs="Arial"/>
        </w:rPr>
        <w:t xml:space="preserve"> </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Cross-examination follows.</w:t>
      </w:r>
    </w:p>
    <w:p w:rsidR="00C2132A"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Re-examination if necessary.</w:t>
      </w:r>
    </w:p>
    <w:p w:rsidR="00400072" w:rsidRPr="004737DB" w:rsidRDefault="00400072" w:rsidP="00C2132A">
      <w:pPr>
        <w:pStyle w:val="ListParagraph"/>
        <w:numPr>
          <w:ilvl w:val="0"/>
          <w:numId w:val="8"/>
        </w:numPr>
        <w:spacing w:after="200"/>
        <w:contextualSpacing w:val="0"/>
        <w:rPr>
          <w:rFonts w:ascii="Arial" w:hAnsi="Arial" w:cs="Arial"/>
        </w:rPr>
      </w:pPr>
      <w:r>
        <w:rPr>
          <w:rFonts w:ascii="Arial" w:hAnsi="Arial" w:cs="Arial"/>
        </w:rPr>
        <w:t>Affidavit of evidence in chief: Rule 12-5(59)</w:t>
      </w:r>
    </w:p>
    <w:p w:rsidR="00C2132A" w:rsidRPr="004737DB" w:rsidRDefault="00C2132A" w:rsidP="00C2132A">
      <w:pPr>
        <w:spacing w:after="200"/>
        <w:rPr>
          <w:rFonts w:ascii="Arial" w:hAnsi="Arial" w:cs="Arial"/>
        </w:rPr>
      </w:pPr>
      <w:r w:rsidRPr="004737DB">
        <w:rPr>
          <w:rFonts w:ascii="Arial" w:hAnsi="Arial" w:cs="Arial"/>
        </w:rPr>
        <w:t>How do witnesses fit into the theme of the case?</w:t>
      </w:r>
    </w:p>
    <w:p w:rsidR="00C2132A" w:rsidRPr="004737DB" w:rsidRDefault="00C2132A" w:rsidP="00C2132A">
      <w:pPr>
        <w:pStyle w:val="ListParagraph"/>
        <w:numPr>
          <w:ilvl w:val="0"/>
          <w:numId w:val="7"/>
        </w:numPr>
        <w:spacing w:after="200"/>
        <w:contextualSpacing w:val="0"/>
        <w:rPr>
          <w:rFonts w:ascii="Arial" w:hAnsi="Arial" w:cs="Arial"/>
        </w:rPr>
      </w:pPr>
      <w:r w:rsidRPr="004737DB">
        <w:rPr>
          <w:rFonts w:ascii="Arial" w:hAnsi="Arial" w:cs="Arial"/>
        </w:rPr>
        <w:t>Tell the story.</w:t>
      </w:r>
    </w:p>
    <w:p w:rsidR="00C2132A" w:rsidRPr="004737DB" w:rsidRDefault="00C2132A" w:rsidP="00C2132A">
      <w:pPr>
        <w:pStyle w:val="ListParagraph"/>
        <w:numPr>
          <w:ilvl w:val="0"/>
          <w:numId w:val="7"/>
        </w:numPr>
        <w:spacing w:after="200"/>
        <w:contextualSpacing w:val="0"/>
        <w:rPr>
          <w:rFonts w:ascii="Arial" w:hAnsi="Arial" w:cs="Arial"/>
        </w:rPr>
      </w:pPr>
      <w:r w:rsidRPr="004737DB">
        <w:rPr>
          <w:rFonts w:ascii="Arial" w:hAnsi="Arial" w:cs="Arial"/>
        </w:rPr>
        <w:t>Elements of the claim that need to be proven.</w:t>
      </w:r>
    </w:p>
    <w:p w:rsidR="00C2132A" w:rsidRPr="004737DB" w:rsidRDefault="00152CF8" w:rsidP="00C2132A">
      <w:pPr>
        <w:pStyle w:val="ListParagraph"/>
        <w:numPr>
          <w:ilvl w:val="0"/>
          <w:numId w:val="7"/>
        </w:numPr>
        <w:spacing w:after="200"/>
        <w:contextualSpacing w:val="0"/>
        <w:rPr>
          <w:rFonts w:ascii="Arial" w:hAnsi="Arial" w:cs="Arial"/>
        </w:rPr>
      </w:pPr>
      <w:r>
        <w:rPr>
          <w:rFonts w:ascii="Arial" w:hAnsi="Arial" w:cs="Arial"/>
        </w:rPr>
        <w:t>Collateral witnesses are e</w:t>
      </w:r>
      <w:r w:rsidR="00C2132A" w:rsidRPr="004737DB">
        <w:rPr>
          <w:rFonts w:ascii="Arial" w:hAnsi="Arial" w:cs="Arial"/>
        </w:rPr>
        <w:t>specially important if the plaintiff has a limi</w:t>
      </w:r>
      <w:r>
        <w:rPr>
          <w:rFonts w:ascii="Arial" w:hAnsi="Arial" w:cs="Arial"/>
        </w:rPr>
        <w:t>ted capacity to tell their story</w:t>
      </w:r>
      <w:r w:rsidR="00C2132A" w:rsidRPr="004737DB">
        <w:rPr>
          <w:rFonts w:ascii="Arial" w:hAnsi="Arial" w:cs="Arial"/>
        </w:rPr>
        <w:t>.</w:t>
      </w:r>
    </w:p>
    <w:p w:rsidR="00C2132A" w:rsidRDefault="00152CF8" w:rsidP="00C2132A">
      <w:pPr>
        <w:pStyle w:val="ListParagraph"/>
        <w:numPr>
          <w:ilvl w:val="0"/>
          <w:numId w:val="7"/>
        </w:numPr>
        <w:spacing w:after="200"/>
        <w:contextualSpacing w:val="0"/>
        <w:rPr>
          <w:rFonts w:ascii="Arial" w:hAnsi="Arial" w:cs="Arial"/>
        </w:rPr>
      </w:pPr>
      <w:r>
        <w:rPr>
          <w:rFonts w:ascii="Arial" w:hAnsi="Arial" w:cs="Arial"/>
        </w:rPr>
        <w:t>You do not need to call</w:t>
      </w:r>
      <w:r w:rsidR="00C2132A" w:rsidRPr="004737DB">
        <w:rPr>
          <w:rFonts w:ascii="Arial" w:hAnsi="Arial" w:cs="Arial"/>
        </w:rPr>
        <w:t xml:space="preserve"> all “witnesses” that you interview.  </w:t>
      </w:r>
      <w:r>
        <w:rPr>
          <w:rFonts w:ascii="Arial" w:hAnsi="Arial" w:cs="Arial"/>
        </w:rPr>
        <w:t xml:space="preserve">Be strategic.  </w:t>
      </w:r>
      <w:r w:rsidR="00E578F3">
        <w:rPr>
          <w:rFonts w:ascii="Arial" w:hAnsi="Arial" w:cs="Arial"/>
        </w:rPr>
        <w:t>Avoid redundancy.</w:t>
      </w:r>
    </w:p>
    <w:p w:rsidR="00C2132A" w:rsidRPr="00152CF8" w:rsidRDefault="00C2132A" w:rsidP="00C2132A">
      <w:pPr>
        <w:pStyle w:val="Default"/>
        <w:numPr>
          <w:ilvl w:val="0"/>
          <w:numId w:val="13"/>
        </w:numPr>
        <w:jc w:val="both"/>
        <w:rPr>
          <w:rFonts w:ascii="Arial" w:hAnsi="Arial" w:cs="Arial"/>
          <w:color w:val="auto"/>
        </w:rPr>
      </w:pPr>
      <w:r w:rsidRPr="00152CF8">
        <w:rPr>
          <w:rFonts w:ascii="Arial" w:hAnsi="Arial" w:cs="Arial"/>
          <w:color w:val="auto"/>
        </w:rPr>
        <w:t>The limits of lay evidence – a review of the law of evidence including the prohibition against hearsay, oath helping, and no opinion evidence unless properly qualified as an expert</w:t>
      </w:r>
      <w:r w:rsidR="00152CF8">
        <w:rPr>
          <w:rFonts w:ascii="Arial" w:hAnsi="Arial" w:cs="Arial"/>
          <w:color w:val="auto"/>
        </w:rPr>
        <w:t xml:space="preserve"> (of which notice must be given)</w:t>
      </w:r>
      <w:r w:rsidRPr="00152CF8">
        <w:rPr>
          <w:rFonts w:ascii="Arial" w:hAnsi="Arial" w:cs="Arial"/>
          <w:color w:val="auto"/>
        </w:rPr>
        <w:t xml:space="preserve">. </w:t>
      </w:r>
    </w:p>
    <w:p w:rsidR="00C2132A" w:rsidRPr="00152CF8" w:rsidRDefault="00C2132A" w:rsidP="00C2132A">
      <w:pPr>
        <w:pStyle w:val="ListParagraph"/>
        <w:rPr>
          <w:rFonts w:ascii="Arial" w:hAnsi="Arial" w:cs="Arial"/>
        </w:rPr>
      </w:pPr>
    </w:p>
    <w:p w:rsidR="00C2132A" w:rsidRPr="00152CF8" w:rsidRDefault="00C2132A" w:rsidP="00C2132A">
      <w:pPr>
        <w:pStyle w:val="Default"/>
        <w:numPr>
          <w:ilvl w:val="0"/>
          <w:numId w:val="13"/>
        </w:numPr>
        <w:jc w:val="both"/>
        <w:rPr>
          <w:rFonts w:ascii="Arial" w:hAnsi="Arial" w:cs="Arial"/>
          <w:color w:val="auto"/>
        </w:rPr>
      </w:pPr>
      <w:r w:rsidRPr="00152CF8">
        <w:rPr>
          <w:rFonts w:ascii="Arial" w:hAnsi="Arial" w:cs="Arial"/>
          <w:color w:val="auto"/>
        </w:rPr>
        <w:t>The limits of expert evidence – must provide written opinion in advance</w:t>
      </w:r>
      <w:r w:rsidR="00E578F3">
        <w:rPr>
          <w:rFonts w:ascii="Arial" w:hAnsi="Arial" w:cs="Arial"/>
          <w:color w:val="auto"/>
        </w:rPr>
        <w:t xml:space="preserve"> (84 days if it is a primary report, 42 days if responding)</w:t>
      </w:r>
      <w:r w:rsidRPr="00152CF8">
        <w:rPr>
          <w:rFonts w:ascii="Arial" w:hAnsi="Arial" w:cs="Arial"/>
          <w:color w:val="auto"/>
        </w:rPr>
        <w:t xml:space="preserve"> and, in direct, testimony is limited to </w:t>
      </w:r>
      <w:r w:rsidRPr="00E578F3">
        <w:rPr>
          <w:rFonts w:ascii="Arial" w:hAnsi="Arial" w:cs="Arial"/>
          <w:i/>
          <w:color w:val="auto"/>
        </w:rPr>
        <w:t>an explanation of the technical terms in their report</w:t>
      </w:r>
      <w:r w:rsidRPr="00152CF8">
        <w:rPr>
          <w:rFonts w:ascii="Arial" w:hAnsi="Arial" w:cs="Arial"/>
          <w:color w:val="auto"/>
        </w:rPr>
        <w:t>.</w:t>
      </w:r>
    </w:p>
    <w:p w:rsidR="00C2132A" w:rsidRPr="004737DB" w:rsidRDefault="00C2132A" w:rsidP="00C2132A">
      <w:pPr>
        <w:spacing w:after="200"/>
        <w:rPr>
          <w:rFonts w:ascii="Arial" w:hAnsi="Arial" w:cs="Arial"/>
        </w:rPr>
      </w:pPr>
    </w:p>
    <w:p w:rsidR="00C2132A" w:rsidRPr="004737DB" w:rsidRDefault="00C2132A" w:rsidP="00C2132A">
      <w:pPr>
        <w:spacing w:after="200"/>
        <w:rPr>
          <w:rFonts w:ascii="Arial" w:hAnsi="Arial" w:cs="Arial"/>
        </w:rPr>
      </w:pPr>
      <w:r w:rsidRPr="004737DB">
        <w:rPr>
          <w:rFonts w:ascii="Arial" w:hAnsi="Arial" w:cs="Arial"/>
        </w:rPr>
        <w:t>What are the elements of the case that you have to prove?</w:t>
      </w:r>
    </w:p>
    <w:p w:rsidR="00C2132A" w:rsidRPr="004737DB" w:rsidRDefault="00C2132A" w:rsidP="00C2132A">
      <w:pPr>
        <w:pStyle w:val="ListParagraph"/>
        <w:numPr>
          <w:ilvl w:val="0"/>
          <w:numId w:val="9"/>
        </w:numPr>
        <w:spacing w:after="200"/>
        <w:contextualSpacing w:val="0"/>
        <w:rPr>
          <w:rFonts w:ascii="Arial" w:hAnsi="Arial" w:cs="Arial"/>
        </w:rPr>
      </w:pPr>
      <w:r w:rsidRPr="004737DB">
        <w:rPr>
          <w:rFonts w:ascii="Arial" w:hAnsi="Arial" w:cs="Arial"/>
        </w:rPr>
        <w:t>Liability</w:t>
      </w:r>
    </w:p>
    <w:p w:rsidR="00C2132A" w:rsidRPr="004737DB" w:rsidRDefault="00C2132A" w:rsidP="00C2132A">
      <w:pPr>
        <w:pStyle w:val="ListParagraph"/>
        <w:numPr>
          <w:ilvl w:val="0"/>
          <w:numId w:val="9"/>
        </w:numPr>
        <w:spacing w:after="200"/>
        <w:contextualSpacing w:val="0"/>
        <w:rPr>
          <w:rFonts w:ascii="Arial" w:hAnsi="Arial" w:cs="Arial"/>
        </w:rPr>
      </w:pPr>
      <w:r w:rsidRPr="004737DB">
        <w:rPr>
          <w:rFonts w:ascii="Arial" w:hAnsi="Arial" w:cs="Arial"/>
        </w:rPr>
        <w:t>Causation</w:t>
      </w:r>
    </w:p>
    <w:p w:rsidR="00C2132A" w:rsidRPr="004737DB" w:rsidRDefault="00C2132A" w:rsidP="00C2132A">
      <w:pPr>
        <w:pStyle w:val="ListParagraph"/>
        <w:numPr>
          <w:ilvl w:val="0"/>
          <w:numId w:val="9"/>
        </w:numPr>
        <w:spacing w:after="200"/>
        <w:contextualSpacing w:val="0"/>
        <w:rPr>
          <w:rFonts w:ascii="Arial" w:hAnsi="Arial" w:cs="Arial"/>
        </w:rPr>
      </w:pPr>
      <w:r w:rsidRPr="004737DB">
        <w:rPr>
          <w:rFonts w:ascii="Arial" w:hAnsi="Arial" w:cs="Arial"/>
        </w:rPr>
        <w:t>Injury</w:t>
      </w:r>
    </w:p>
    <w:p w:rsidR="00C2132A" w:rsidRPr="004737DB" w:rsidRDefault="00C2132A" w:rsidP="00C2132A">
      <w:pPr>
        <w:pStyle w:val="ListParagraph"/>
        <w:numPr>
          <w:ilvl w:val="0"/>
          <w:numId w:val="9"/>
        </w:numPr>
        <w:spacing w:after="200"/>
        <w:contextualSpacing w:val="0"/>
        <w:rPr>
          <w:rFonts w:ascii="Arial" w:hAnsi="Arial" w:cs="Arial"/>
        </w:rPr>
      </w:pPr>
      <w:r w:rsidRPr="004737DB">
        <w:rPr>
          <w:rFonts w:ascii="Arial" w:hAnsi="Arial" w:cs="Arial"/>
        </w:rPr>
        <w:t xml:space="preserve">Damages </w:t>
      </w:r>
    </w:p>
    <w:p w:rsidR="00C2132A" w:rsidRPr="004737DB" w:rsidRDefault="00C2132A" w:rsidP="00C2132A">
      <w:pPr>
        <w:spacing w:after="200"/>
        <w:rPr>
          <w:rFonts w:ascii="Arial" w:hAnsi="Arial" w:cs="Arial"/>
        </w:rPr>
      </w:pPr>
      <w:r w:rsidRPr="004737DB">
        <w:rPr>
          <w:rFonts w:ascii="Arial" w:hAnsi="Arial" w:cs="Arial"/>
        </w:rPr>
        <w:t>Who are the witnesses you may want to call in order to prove those elements?</w:t>
      </w:r>
    </w:p>
    <w:p w:rsidR="00C2132A" w:rsidRPr="004737DB" w:rsidRDefault="00C2132A" w:rsidP="00C2132A">
      <w:pPr>
        <w:pStyle w:val="ListParagraph"/>
        <w:numPr>
          <w:ilvl w:val="0"/>
          <w:numId w:val="10"/>
        </w:numPr>
        <w:spacing w:after="200"/>
        <w:contextualSpacing w:val="0"/>
        <w:rPr>
          <w:rFonts w:ascii="Arial" w:hAnsi="Arial" w:cs="Arial"/>
        </w:rPr>
      </w:pPr>
      <w:r w:rsidRPr="004737DB">
        <w:rPr>
          <w:rFonts w:ascii="Arial" w:hAnsi="Arial" w:cs="Arial"/>
        </w:rPr>
        <w:t>Liability</w:t>
      </w:r>
    </w:p>
    <w:p w:rsidR="00C2132A" w:rsidRPr="004737DB" w:rsidRDefault="00C2132A" w:rsidP="00C2132A">
      <w:pPr>
        <w:pStyle w:val="ListParagraph"/>
        <w:numPr>
          <w:ilvl w:val="1"/>
          <w:numId w:val="10"/>
        </w:numPr>
        <w:spacing w:after="200"/>
        <w:contextualSpacing w:val="0"/>
        <w:rPr>
          <w:rFonts w:ascii="Arial" w:hAnsi="Arial" w:cs="Arial"/>
        </w:rPr>
      </w:pPr>
      <w:r w:rsidRPr="004737DB">
        <w:rPr>
          <w:rFonts w:ascii="Arial" w:hAnsi="Arial" w:cs="Arial"/>
        </w:rPr>
        <w:t xml:space="preserve">Plaintiff </w:t>
      </w:r>
    </w:p>
    <w:p w:rsidR="00C2132A" w:rsidRPr="004737DB" w:rsidRDefault="00C2132A" w:rsidP="00C2132A">
      <w:pPr>
        <w:pStyle w:val="ListParagraph"/>
        <w:numPr>
          <w:ilvl w:val="1"/>
          <w:numId w:val="10"/>
        </w:numPr>
        <w:spacing w:after="200"/>
        <w:contextualSpacing w:val="0"/>
        <w:rPr>
          <w:rFonts w:ascii="Arial" w:hAnsi="Arial" w:cs="Arial"/>
        </w:rPr>
      </w:pPr>
      <w:r w:rsidRPr="004737DB">
        <w:rPr>
          <w:rFonts w:ascii="Arial" w:hAnsi="Arial" w:cs="Arial"/>
        </w:rPr>
        <w:t>Eye witnesses</w:t>
      </w:r>
    </w:p>
    <w:p w:rsidR="00C2132A" w:rsidRPr="004737DB" w:rsidRDefault="00C2132A" w:rsidP="00C2132A">
      <w:pPr>
        <w:pStyle w:val="ListParagraph"/>
        <w:numPr>
          <w:ilvl w:val="1"/>
          <w:numId w:val="10"/>
        </w:numPr>
        <w:spacing w:after="200"/>
        <w:contextualSpacing w:val="0"/>
        <w:rPr>
          <w:rFonts w:ascii="Arial" w:hAnsi="Arial" w:cs="Arial"/>
        </w:rPr>
      </w:pPr>
      <w:r w:rsidRPr="004737DB">
        <w:rPr>
          <w:rFonts w:ascii="Arial" w:hAnsi="Arial" w:cs="Arial"/>
        </w:rPr>
        <w:t>Police officer or emergency attendants.</w:t>
      </w:r>
    </w:p>
    <w:p w:rsidR="00C2132A" w:rsidRDefault="00C2132A" w:rsidP="00C2132A">
      <w:pPr>
        <w:pStyle w:val="ListParagraph"/>
        <w:numPr>
          <w:ilvl w:val="1"/>
          <w:numId w:val="10"/>
        </w:numPr>
        <w:spacing w:after="200"/>
        <w:contextualSpacing w:val="0"/>
        <w:rPr>
          <w:rFonts w:ascii="Arial" w:hAnsi="Arial" w:cs="Arial"/>
        </w:rPr>
      </w:pPr>
      <w:r w:rsidRPr="004737DB">
        <w:rPr>
          <w:rFonts w:ascii="Arial" w:hAnsi="Arial" w:cs="Arial"/>
        </w:rPr>
        <w:t>Engineer or technical scientific expert.</w:t>
      </w:r>
    </w:p>
    <w:p w:rsidR="00C2132A" w:rsidRPr="004737DB" w:rsidRDefault="00C2132A" w:rsidP="00EC3719">
      <w:pPr>
        <w:pStyle w:val="ListParagraph"/>
        <w:keepNext/>
        <w:keepLines/>
        <w:numPr>
          <w:ilvl w:val="0"/>
          <w:numId w:val="10"/>
        </w:numPr>
        <w:spacing w:after="240"/>
        <w:contextualSpacing w:val="0"/>
        <w:rPr>
          <w:rFonts w:ascii="Arial" w:hAnsi="Arial" w:cs="Arial"/>
        </w:rPr>
      </w:pPr>
      <w:r w:rsidRPr="004737DB">
        <w:rPr>
          <w:rFonts w:ascii="Arial" w:hAnsi="Arial" w:cs="Arial"/>
        </w:rPr>
        <w:lastRenderedPageBreak/>
        <w:t>Injury</w:t>
      </w:r>
    </w:p>
    <w:p w:rsidR="00C2132A" w:rsidRPr="004737DB" w:rsidRDefault="00C2132A" w:rsidP="00C2132A">
      <w:pPr>
        <w:pStyle w:val="ListParagraph"/>
        <w:numPr>
          <w:ilvl w:val="1"/>
          <w:numId w:val="10"/>
        </w:numPr>
        <w:spacing w:after="200"/>
        <w:contextualSpacing w:val="0"/>
        <w:rPr>
          <w:rFonts w:ascii="Arial" w:hAnsi="Arial" w:cs="Arial"/>
        </w:rPr>
      </w:pPr>
      <w:r w:rsidRPr="004737DB">
        <w:rPr>
          <w:rFonts w:ascii="Arial" w:hAnsi="Arial" w:cs="Arial"/>
        </w:rPr>
        <w:t>Plaintiff</w:t>
      </w:r>
    </w:p>
    <w:p w:rsidR="00C2132A" w:rsidRPr="004737DB" w:rsidRDefault="00C2132A" w:rsidP="00C2132A">
      <w:pPr>
        <w:pStyle w:val="ListParagraph"/>
        <w:numPr>
          <w:ilvl w:val="1"/>
          <w:numId w:val="10"/>
        </w:numPr>
        <w:spacing w:after="200"/>
        <w:contextualSpacing w:val="0"/>
        <w:rPr>
          <w:rFonts w:ascii="Arial" w:hAnsi="Arial" w:cs="Arial"/>
        </w:rPr>
      </w:pPr>
      <w:r w:rsidRPr="004737DB">
        <w:rPr>
          <w:rFonts w:ascii="Arial" w:hAnsi="Arial" w:cs="Arial"/>
        </w:rPr>
        <w:t>Medical experts</w:t>
      </w:r>
    </w:p>
    <w:p w:rsidR="00C2132A" w:rsidRPr="004737DB" w:rsidRDefault="00C2132A" w:rsidP="00C2132A">
      <w:pPr>
        <w:pStyle w:val="ListParagraph"/>
        <w:numPr>
          <w:ilvl w:val="1"/>
          <w:numId w:val="10"/>
        </w:numPr>
        <w:spacing w:after="200"/>
        <w:contextualSpacing w:val="0"/>
        <w:rPr>
          <w:rFonts w:ascii="Arial" w:hAnsi="Arial" w:cs="Arial"/>
        </w:rPr>
      </w:pPr>
      <w:r w:rsidRPr="004737DB">
        <w:rPr>
          <w:rFonts w:ascii="Arial" w:hAnsi="Arial" w:cs="Arial"/>
        </w:rPr>
        <w:t xml:space="preserve">Treatment providers (physio, OT, massage therapist, </w:t>
      </w:r>
      <w:proofErr w:type="spellStart"/>
      <w:r w:rsidRPr="004737DB">
        <w:rPr>
          <w:rFonts w:ascii="Arial" w:hAnsi="Arial" w:cs="Arial"/>
        </w:rPr>
        <w:t>kinesiologist</w:t>
      </w:r>
      <w:proofErr w:type="spellEnd"/>
      <w:r w:rsidRPr="004737DB">
        <w:rPr>
          <w:rFonts w:ascii="Arial" w:hAnsi="Arial" w:cs="Arial"/>
        </w:rPr>
        <w:t>)</w:t>
      </w:r>
    </w:p>
    <w:p w:rsidR="00C2132A" w:rsidRPr="004737DB" w:rsidRDefault="00C2132A" w:rsidP="00C2132A">
      <w:pPr>
        <w:pStyle w:val="ListParagraph"/>
        <w:numPr>
          <w:ilvl w:val="0"/>
          <w:numId w:val="10"/>
        </w:numPr>
        <w:spacing w:after="200"/>
        <w:contextualSpacing w:val="0"/>
        <w:rPr>
          <w:rFonts w:ascii="Arial" w:hAnsi="Arial" w:cs="Arial"/>
        </w:rPr>
      </w:pPr>
      <w:r w:rsidRPr="004737DB">
        <w:rPr>
          <w:rFonts w:ascii="Arial" w:hAnsi="Arial" w:cs="Arial"/>
        </w:rPr>
        <w:t>Damages</w:t>
      </w:r>
    </w:p>
    <w:p w:rsidR="00C2132A" w:rsidRPr="004737DB" w:rsidRDefault="00C2132A" w:rsidP="00C2132A">
      <w:pPr>
        <w:pStyle w:val="ListParagraph"/>
        <w:numPr>
          <w:ilvl w:val="1"/>
          <w:numId w:val="10"/>
        </w:numPr>
        <w:spacing w:after="200"/>
        <w:contextualSpacing w:val="0"/>
        <w:rPr>
          <w:rFonts w:ascii="Arial" w:hAnsi="Arial" w:cs="Arial"/>
        </w:rPr>
      </w:pPr>
      <w:r w:rsidRPr="004737DB">
        <w:rPr>
          <w:rFonts w:ascii="Arial" w:hAnsi="Arial" w:cs="Arial"/>
        </w:rPr>
        <w:t>Plaintiff</w:t>
      </w:r>
    </w:p>
    <w:p w:rsidR="00C2132A" w:rsidRPr="004737DB" w:rsidRDefault="00C2132A" w:rsidP="00C2132A">
      <w:pPr>
        <w:pStyle w:val="ListParagraph"/>
        <w:numPr>
          <w:ilvl w:val="1"/>
          <w:numId w:val="10"/>
        </w:numPr>
        <w:spacing w:after="200"/>
        <w:contextualSpacing w:val="0"/>
        <w:rPr>
          <w:rFonts w:ascii="Arial" w:hAnsi="Arial" w:cs="Arial"/>
        </w:rPr>
      </w:pPr>
      <w:r w:rsidRPr="004737DB">
        <w:rPr>
          <w:rFonts w:ascii="Arial" w:hAnsi="Arial" w:cs="Arial"/>
        </w:rPr>
        <w:t>Collateral witnesses (family members, friends, co-workers, colleagues)</w:t>
      </w:r>
    </w:p>
    <w:p w:rsidR="00C2132A" w:rsidRPr="004737DB" w:rsidRDefault="00C2132A" w:rsidP="00C2132A">
      <w:pPr>
        <w:spacing w:after="200"/>
        <w:rPr>
          <w:rFonts w:ascii="Arial" w:hAnsi="Arial" w:cs="Arial"/>
        </w:rPr>
      </w:pPr>
      <w:r w:rsidRPr="004737DB">
        <w:rPr>
          <w:rFonts w:ascii="Arial" w:hAnsi="Arial" w:cs="Arial"/>
        </w:rPr>
        <w:t>Adverse Witnesses</w:t>
      </w:r>
    </w:p>
    <w:p w:rsidR="00C2132A" w:rsidRPr="004737DB" w:rsidRDefault="00E578F3" w:rsidP="00C2132A">
      <w:pPr>
        <w:pStyle w:val="ListParagraph"/>
        <w:numPr>
          <w:ilvl w:val="0"/>
          <w:numId w:val="13"/>
        </w:numPr>
        <w:spacing w:after="200"/>
        <w:contextualSpacing w:val="0"/>
        <w:rPr>
          <w:rFonts w:ascii="Arial" w:hAnsi="Arial" w:cs="Arial"/>
        </w:rPr>
      </w:pPr>
      <w:r>
        <w:rPr>
          <w:rFonts w:ascii="Arial" w:hAnsi="Arial" w:cs="Arial"/>
        </w:rPr>
        <w:t xml:space="preserve">The </w:t>
      </w:r>
      <w:r w:rsidR="00C2132A" w:rsidRPr="004737DB">
        <w:rPr>
          <w:rFonts w:ascii="Arial" w:hAnsi="Arial" w:cs="Arial"/>
        </w:rPr>
        <w:t>Rules allow a party to call a witness who is “adverse” in interest.</w:t>
      </w:r>
    </w:p>
    <w:p w:rsidR="00C2132A" w:rsidRPr="004737DB" w:rsidRDefault="00C2132A" w:rsidP="00C2132A">
      <w:pPr>
        <w:pStyle w:val="ListParagraph"/>
        <w:numPr>
          <w:ilvl w:val="0"/>
          <w:numId w:val="13"/>
        </w:numPr>
        <w:spacing w:after="200"/>
        <w:contextualSpacing w:val="0"/>
        <w:rPr>
          <w:rFonts w:ascii="Arial" w:hAnsi="Arial" w:cs="Arial"/>
        </w:rPr>
      </w:pPr>
      <w:r w:rsidRPr="004737DB">
        <w:rPr>
          <w:rFonts w:ascii="Arial" w:hAnsi="Arial" w:cs="Arial"/>
        </w:rPr>
        <w:t xml:space="preserve">Plaintiff would rarely call a defendant as an adverse witness.  </w:t>
      </w:r>
      <w:r w:rsidR="00E578F3">
        <w:rPr>
          <w:rFonts w:ascii="Arial" w:hAnsi="Arial" w:cs="Arial"/>
        </w:rPr>
        <w:t>You</w:t>
      </w:r>
      <w:r w:rsidRPr="004737DB">
        <w:rPr>
          <w:rFonts w:ascii="Arial" w:hAnsi="Arial" w:cs="Arial"/>
        </w:rPr>
        <w:t xml:space="preserve"> only </w:t>
      </w:r>
      <w:r w:rsidR="00E578F3">
        <w:rPr>
          <w:rFonts w:ascii="Arial" w:hAnsi="Arial" w:cs="Arial"/>
        </w:rPr>
        <w:t xml:space="preserve">do this </w:t>
      </w:r>
      <w:r w:rsidRPr="004737DB">
        <w:rPr>
          <w:rFonts w:ascii="Arial" w:hAnsi="Arial" w:cs="Arial"/>
        </w:rPr>
        <w:t>where you are worried that the defendant will not call that witness and you need evidence from that witness to prove part of your case.</w:t>
      </w:r>
      <w:r w:rsidR="00C76C1B">
        <w:rPr>
          <w:rFonts w:ascii="Arial" w:hAnsi="Arial" w:cs="Arial"/>
        </w:rPr>
        <w:t xml:space="preserve">  </w:t>
      </w:r>
    </w:p>
    <w:p w:rsidR="00C2132A" w:rsidRDefault="00C2132A" w:rsidP="00C2132A">
      <w:pPr>
        <w:pStyle w:val="ListParagraph"/>
        <w:numPr>
          <w:ilvl w:val="0"/>
          <w:numId w:val="13"/>
        </w:numPr>
        <w:spacing w:after="200"/>
        <w:contextualSpacing w:val="0"/>
        <w:rPr>
          <w:rFonts w:ascii="Arial" w:hAnsi="Arial" w:cs="Arial"/>
        </w:rPr>
      </w:pPr>
      <w:r w:rsidRPr="004737DB">
        <w:rPr>
          <w:rFonts w:ascii="Arial" w:hAnsi="Arial" w:cs="Arial"/>
        </w:rPr>
        <w:t xml:space="preserve">Questioning </w:t>
      </w:r>
      <w:r w:rsidR="00E578F3">
        <w:rPr>
          <w:rFonts w:ascii="Arial" w:hAnsi="Arial" w:cs="Arial"/>
        </w:rPr>
        <w:t xml:space="preserve">of an adverse witness </w:t>
      </w:r>
      <w:r w:rsidRPr="004737DB">
        <w:rPr>
          <w:rFonts w:ascii="Arial" w:hAnsi="Arial" w:cs="Arial"/>
        </w:rPr>
        <w:t>is akin to cross-examination.</w:t>
      </w:r>
    </w:p>
    <w:p w:rsidR="00C2132A" w:rsidRPr="002F17FD" w:rsidRDefault="00C2132A" w:rsidP="00EC3719">
      <w:pPr>
        <w:pStyle w:val="Default"/>
        <w:keepNext/>
        <w:keepLines/>
        <w:spacing w:before="360" w:after="360"/>
        <w:jc w:val="both"/>
        <w:rPr>
          <w:rFonts w:ascii="Arial" w:hAnsi="Arial" w:cs="Arial"/>
          <w:b/>
          <w:i/>
        </w:rPr>
      </w:pPr>
      <w:r w:rsidRPr="002F17FD">
        <w:rPr>
          <w:rFonts w:ascii="Arial" w:hAnsi="Arial" w:cs="Arial"/>
          <w:b/>
          <w:i/>
        </w:rPr>
        <w:t>Direct Examinations</w:t>
      </w:r>
    </w:p>
    <w:p w:rsidR="00C2132A" w:rsidRPr="004737DB" w:rsidRDefault="00C2132A" w:rsidP="00C2132A">
      <w:pPr>
        <w:spacing w:after="200"/>
        <w:rPr>
          <w:rFonts w:ascii="Arial" w:hAnsi="Arial" w:cs="Arial"/>
        </w:rPr>
      </w:pPr>
      <w:r w:rsidRPr="004737DB">
        <w:rPr>
          <w:rFonts w:ascii="Arial" w:hAnsi="Arial" w:cs="Arial"/>
        </w:rPr>
        <w:t xml:space="preserve">Direct Examination </w:t>
      </w:r>
      <w:r w:rsidR="00C76C1B">
        <w:rPr>
          <w:rFonts w:ascii="Arial" w:hAnsi="Arial" w:cs="Arial"/>
        </w:rPr>
        <w:t xml:space="preserve">(Examination in Chief): </w:t>
      </w:r>
      <w:r w:rsidRPr="004737DB">
        <w:rPr>
          <w:rFonts w:ascii="Arial" w:hAnsi="Arial" w:cs="Arial"/>
        </w:rPr>
        <w:t>a party presents their evidence through direct examination of their witnesses.</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 xml:space="preserve">Important not to underestimate the impact of direct examination. </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 xml:space="preserve">The evidence comes from the witnesses because you are not allowed to “lead” evidence on important aspects of evidence.  </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Can lead on non-controversial evidence.</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Must ask open ended questions and the witnesses presents their evidence.</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Counsel facilitates the conversation between the witness and the trier of fact.</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Keep it simple.</w:t>
      </w:r>
    </w:p>
    <w:p w:rsidR="00C2132A" w:rsidRPr="004737DB" w:rsidRDefault="00C2132A" w:rsidP="00C2132A">
      <w:pPr>
        <w:spacing w:after="200"/>
        <w:rPr>
          <w:rFonts w:ascii="Arial" w:hAnsi="Arial" w:cs="Arial"/>
        </w:rPr>
      </w:pPr>
      <w:r w:rsidRPr="004737DB">
        <w:rPr>
          <w:rFonts w:ascii="Arial" w:hAnsi="Arial" w:cs="Arial"/>
        </w:rPr>
        <w:t>Preparing the witness.</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Preparation is essential.</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Preparation means identifying the issues of the case for the witness, helping them understand how their evidence fits into the case, and explaining why they are being called to testify.  It also requires reviewing their evidence with them both for direct and cross-examination purposes.</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lastRenderedPageBreak/>
        <w:t>Review documents that you will introduce through them or that may be put to them.</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Take them to a Court room so they can see where they sit, where counsel stand, where the jury sits, where the judge sits.  They can watch a trial to see how it works.</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Must identify for them where they are vulnerable.</w:t>
      </w:r>
    </w:p>
    <w:p w:rsidR="00C2132A" w:rsidRPr="004737DB" w:rsidRDefault="00C2132A" w:rsidP="00C2132A">
      <w:pPr>
        <w:pStyle w:val="ListParagraph"/>
        <w:numPr>
          <w:ilvl w:val="0"/>
          <w:numId w:val="8"/>
        </w:numPr>
        <w:spacing w:after="200"/>
        <w:contextualSpacing w:val="0"/>
        <w:rPr>
          <w:rFonts w:ascii="Arial" w:hAnsi="Arial" w:cs="Arial"/>
        </w:rPr>
      </w:pPr>
      <w:r w:rsidRPr="004737DB">
        <w:rPr>
          <w:rFonts w:ascii="Arial" w:hAnsi="Arial" w:cs="Arial"/>
        </w:rPr>
        <w:t xml:space="preserve">Takes hours of time.  </w:t>
      </w:r>
    </w:p>
    <w:p w:rsidR="00C2132A" w:rsidRPr="004737DB" w:rsidRDefault="00C2132A" w:rsidP="00C2132A">
      <w:pPr>
        <w:spacing w:after="200"/>
        <w:rPr>
          <w:rFonts w:ascii="Arial" w:hAnsi="Arial" w:cs="Arial"/>
        </w:rPr>
      </w:pPr>
      <w:r w:rsidRPr="004737DB">
        <w:rPr>
          <w:rFonts w:ascii="Arial" w:hAnsi="Arial" w:cs="Arial"/>
        </w:rPr>
        <w:t>Example:</w:t>
      </w:r>
    </w:p>
    <w:p w:rsidR="00C2132A" w:rsidRPr="004737DB" w:rsidRDefault="00C2132A" w:rsidP="00C2132A">
      <w:pPr>
        <w:pStyle w:val="ListParagraph"/>
        <w:numPr>
          <w:ilvl w:val="0"/>
          <w:numId w:val="11"/>
        </w:numPr>
        <w:spacing w:after="200"/>
        <w:contextualSpacing w:val="0"/>
        <w:rPr>
          <w:rFonts w:ascii="Arial" w:hAnsi="Arial" w:cs="Arial"/>
        </w:rPr>
      </w:pPr>
      <w:r w:rsidRPr="004737DB">
        <w:rPr>
          <w:rFonts w:ascii="Arial" w:hAnsi="Arial" w:cs="Arial"/>
        </w:rPr>
        <w:t>What kind of questions will you ask the plaintiff?</w:t>
      </w:r>
    </w:p>
    <w:p w:rsidR="00C2132A" w:rsidRPr="004737DB" w:rsidRDefault="00C2132A" w:rsidP="00C2132A">
      <w:pPr>
        <w:pStyle w:val="ListParagraph"/>
        <w:numPr>
          <w:ilvl w:val="0"/>
          <w:numId w:val="11"/>
        </w:numPr>
        <w:spacing w:after="200"/>
        <w:contextualSpacing w:val="0"/>
        <w:rPr>
          <w:rFonts w:ascii="Arial" w:hAnsi="Arial" w:cs="Arial"/>
        </w:rPr>
      </w:pPr>
      <w:r w:rsidRPr="004737DB">
        <w:rPr>
          <w:rFonts w:ascii="Arial" w:hAnsi="Arial" w:cs="Arial"/>
        </w:rPr>
        <w:t>What kind of questions will you ask the plaintiff’s employer?</w:t>
      </w:r>
    </w:p>
    <w:p w:rsidR="00C2132A" w:rsidRPr="004737DB" w:rsidRDefault="00C2132A" w:rsidP="00C2132A">
      <w:pPr>
        <w:pStyle w:val="ListParagraph"/>
        <w:numPr>
          <w:ilvl w:val="0"/>
          <w:numId w:val="11"/>
        </w:numPr>
        <w:spacing w:after="200"/>
        <w:contextualSpacing w:val="0"/>
        <w:rPr>
          <w:rFonts w:ascii="Arial" w:hAnsi="Arial" w:cs="Arial"/>
        </w:rPr>
      </w:pPr>
      <w:r w:rsidRPr="004737DB">
        <w:rPr>
          <w:rFonts w:ascii="Arial" w:hAnsi="Arial" w:cs="Arial"/>
        </w:rPr>
        <w:t>What kinds of questions will you ask the plaintiff’s family members or friends?</w:t>
      </w:r>
    </w:p>
    <w:p w:rsidR="00C2132A" w:rsidRPr="004737DB" w:rsidRDefault="00C2132A" w:rsidP="00C2132A">
      <w:pPr>
        <w:spacing w:after="200"/>
        <w:rPr>
          <w:rFonts w:ascii="Arial" w:hAnsi="Arial" w:cs="Arial"/>
        </w:rPr>
      </w:pPr>
      <w:r w:rsidRPr="004737DB">
        <w:rPr>
          <w:rFonts w:ascii="Arial" w:hAnsi="Arial" w:cs="Arial"/>
        </w:rPr>
        <w:t>Organizing the Direct Examination</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 xml:space="preserve">Introduce the witness to the trier of fact.  </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Establish context – their background insofar as it relates to the case (ex, family member, friend, co-worker, doctor);  how do they know the plaintiff.</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Set the scene</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 xml:space="preserve">Accident </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Slip &amp; fall</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Medical negligence</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 xml:space="preserve">Damages evidence </w:t>
      </w:r>
    </w:p>
    <w:p w:rsidR="00C2132A" w:rsidRPr="004737DB" w:rsidRDefault="00C2132A" w:rsidP="00C2132A">
      <w:pPr>
        <w:pStyle w:val="ListParagraph"/>
        <w:numPr>
          <w:ilvl w:val="2"/>
          <w:numId w:val="12"/>
        </w:numPr>
        <w:spacing w:after="200"/>
        <w:contextualSpacing w:val="0"/>
        <w:rPr>
          <w:rFonts w:ascii="Arial" w:hAnsi="Arial" w:cs="Arial"/>
        </w:rPr>
      </w:pPr>
      <w:r w:rsidRPr="004737DB">
        <w:rPr>
          <w:rFonts w:ascii="Arial" w:hAnsi="Arial" w:cs="Arial"/>
        </w:rPr>
        <w:t>The plaintiff before and after</w:t>
      </w:r>
    </w:p>
    <w:p w:rsidR="00C2132A" w:rsidRPr="004737DB" w:rsidRDefault="00C2132A" w:rsidP="00C2132A">
      <w:pPr>
        <w:pStyle w:val="ListParagraph"/>
        <w:numPr>
          <w:ilvl w:val="2"/>
          <w:numId w:val="12"/>
        </w:numPr>
        <w:spacing w:after="200"/>
        <w:contextualSpacing w:val="0"/>
        <w:rPr>
          <w:rFonts w:ascii="Arial" w:hAnsi="Arial" w:cs="Arial"/>
        </w:rPr>
      </w:pPr>
      <w:r w:rsidRPr="004737DB">
        <w:rPr>
          <w:rFonts w:ascii="Arial" w:hAnsi="Arial" w:cs="Arial"/>
        </w:rPr>
        <w:t>Injury</w:t>
      </w:r>
    </w:p>
    <w:p w:rsidR="00C2132A" w:rsidRPr="004737DB" w:rsidRDefault="00C2132A" w:rsidP="00C2132A">
      <w:pPr>
        <w:pStyle w:val="ListParagraph"/>
        <w:numPr>
          <w:ilvl w:val="3"/>
          <w:numId w:val="12"/>
        </w:numPr>
        <w:spacing w:after="200"/>
        <w:contextualSpacing w:val="0"/>
        <w:rPr>
          <w:rFonts w:ascii="Arial" w:hAnsi="Arial" w:cs="Arial"/>
        </w:rPr>
      </w:pPr>
      <w:r w:rsidRPr="004737DB">
        <w:rPr>
          <w:rFonts w:ascii="Arial" w:hAnsi="Arial" w:cs="Arial"/>
        </w:rPr>
        <w:t>Diagnosis</w:t>
      </w:r>
    </w:p>
    <w:p w:rsidR="00C2132A" w:rsidRPr="004737DB" w:rsidRDefault="00C2132A" w:rsidP="00C2132A">
      <w:pPr>
        <w:pStyle w:val="ListParagraph"/>
        <w:numPr>
          <w:ilvl w:val="3"/>
          <w:numId w:val="12"/>
        </w:numPr>
        <w:spacing w:after="200"/>
        <w:contextualSpacing w:val="0"/>
        <w:rPr>
          <w:rFonts w:ascii="Arial" w:hAnsi="Arial" w:cs="Arial"/>
        </w:rPr>
      </w:pPr>
      <w:r w:rsidRPr="004737DB">
        <w:rPr>
          <w:rFonts w:ascii="Arial" w:hAnsi="Arial" w:cs="Arial"/>
        </w:rPr>
        <w:t>Treatment</w:t>
      </w:r>
    </w:p>
    <w:p w:rsidR="00C2132A" w:rsidRPr="004737DB" w:rsidRDefault="00C2132A" w:rsidP="00C2132A">
      <w:pPr>
        <w:pStyle w:val="ListParagraph"/>
        <w:numPr>
          <w:ilvl w:val="3"/>
          <w:numId w:val="12"/>
        </w:numPr>
        <w:spacing w:after="200"/>
        <w:contextualSpacing w:val="0"/>
        <w:rPr>
          <w:rFonts w:ascii="Arial" w:hAnsi="Arial" w:cs="Arial"/>
        </w:rPr>
      </w:pPr>
      <w:r w:rsidRPr="004737DB">
        <w:rPr>
          <w:rFonts w:ascii="Arial" w:hAnsi="Arial" w:cs="Arial"/>
        </w:rPr>
        <w:t>Prognosis</w:t>
      </w:r>
    </w:p>
    <w:p w:rsidR="00C2132A" w:rsidRPr="004737DB" w:rsidRDefault="00C2132A" w:rsidP="00C2132A">
      <w:pPr>
        <w:pStyle w:val="ListParagraph"/>
        <w:numPr>
          <w:ilvl w:val="2"/>
          <w:numId w:val="12"/>
        </w:numPr>
        <w:spacing w:after="200"/>
        <w:contextualSpacing w:val="0"/>
        <w:rPr>
          <w:rFonts w:ascii="Arial" w:hAnsi="Arial" w:cs="Arial"/>
        </w:rPr>
      </w:pPr>
      <w:r w:rsidRPr="004737DB">
        <w:rPr>
          <w:rFonts w:ascii="Arial" w:hAnsi="Arial" w:cs="Arial"/>
        </w:rPr>
        <w:t>Impact on all aspects of life</w:t>
      </w:r>
    </w:p>
    <w:p w:rsidR="00C2132A" w:rsidRPr="004737DB" w:rsidRDefault="00C2132A" w:rsidP="00C2132A">
      <w:pPr>
        <w:pStyle w:val="ListParagraph"/>
        <w:numPr>
          <w:ilvl w:val="3"/>
          <w:numId w:val="12"/>
        </w:numPr>
        <w:spacing w:after="200"/>
        <w:contextualSpacing w:val="0"/>
        <w:rPr>
          <w:rFonts w:ascii="Arial" w:hAnsi="Arial" w:cs="Arial"/>
        </w:rPr>
      </w:pPr>
      <w:r w:rsidRPr="004737DB">
        <w:rPr>
          <w:rFonts w:ascii="Arial" w:hAnsi="Arial" w:cs="Arial"/>
        </w:rPr>
        <w:t>Home</w:t>
      </w:r>
    </w:p>
    <w:p w:rsidR="00C2132A" w:rsidRPr="004737DB" w:rsidRDefault="00C2132A" w:rsidP="00C2132A">
      <w:pPr>
        <w:pStyle w:val="ListParagraph"/>
        <w:numPr>
          <w:ilvl w:val="3"/>
          <w:numId w:val="12"/>
        </w:numPr>
        <w:spacing w:after="200"/>
        <w:contextualSpacing w:val="0"/>
        <w:rPr>
          <w:rFonts w:ascii="Arial" w:hAnsi="Arial" w:cs="Arial"/>
        </w:rPr>
      </w:pPr>
      <w:r w:rsidRPr="004737DB">
        <w:rPr>
          <w:rFonts w:ascii="Arial" w:hAnsi="Arial" w:cs="Arial"/>
        </w:rPr>
        <w:t xml:space="preserve">Recreational, social, </w:t>
      </w:r>
      <w:proofErr w:type="spellStart"/>
      <w:r w:rsidRPr="004737DB">
        <w:rPr>
          <w:rFonts w:ascii="Arial" w:hAnsi="Arial" w:cs="Arial"/>
        </w:rPr>
        <w:t>etc</w:t>
      </w:r>
      <w:proofErr w:type="spellEnd"/>
    </w:p>
    <w:p w:rsidR="00C2132A" w:rsidRPr="004737DB" w:rsidRDefault="00C2132A" w:rsidP="00C2132A">
      <w:pPr>
        <w:pStyle w:val="ListParagraph"/>
        <w:numPr>
          <w:ilvl w:val="3"/>
          <w:numId w:val="12"/>
        </w:numPr>
        <w:spacing w:after="200"/>
        <w:contextualSpacing w:val="0"/>
        <w:rPr>
          <w:rFonts w:ascii="Arial" w:hAnsi="Arial" w:cs="Arial"/>
        </w:rPr>
      </w:pPr>
      <w:r w:rsidRPr="004737DB">
        <w:rPr>
          <w:rFonts w:ascii="Arial" w:hAnsi="Arial" w:cs="Arial"/>
        </w:rPr>
        <w:lastRenderedPageBreak/>
        <w:t>Work</w:t>
      </w:r>
    </w:p>
    <w:p w:rsidR="00C2132A" w:rsidRPr="004737DB" w:rsidRDefault="00C2132A" w:rsidP="00C2132A">
      <w:pPr>
        <w:pStyle w:val="ListParagraph"/>
        <w:numPr>
          <w:ilvl w:val="3"/>
          <w:numId w:val="12"/>
        </w:numPr>
        <w:spacing w:after="200"/>
        <w:contextualSpacing w:val="0"/>
        <w:rPr>
          <w:rFonts w:ascii="Arial" w:hAnsi="Arial" w:cs="Arial"/>
        </w:rPr>
      </w:pPr>
      <w:r w:rsidRPr="004737DB">
        <w:rPr>
          <w:rFonts w:ascii="Arial" w:hAnsi="Arial" w:cs="Arial"/>
        </w:rPr>
        <w:t>Interpersonal</w:t>
      </w:r>
    </w:p>
    <w:p w:rsidR="00C2132A" w:rsidRPr="004737DB" w:rsidRDefault="00C2132A" w:rsidP="00C2132A">
      <w:pPr>
        <w:pStyle w:val="ListParagraph"/>
        <w:numPr>
          <w:ilvl w:val="3"/>
          <w:numId w:val="12"/>
        </w:numPr>
        <w:spacing w:after="200"/>
        <w:contextualSpacing w:val="0"/>
        <w:rPr>
          <w:rFonts w:ascii="Arial" w:hAnsi="Arial" w:cs="Arial"/>
        </w:rPr>
      </w:pPr>
      <w:r w:rsidRPr="004737DB">
        <w:rPr>
          <w:rFonts w:ascii="Arial" w:hAnsi="Arial" w:cs="Arial"/>
        </w:rPr>
        <w:t>Emotional</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Have a goal then sequence your questions to achieve that goal.</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Lay the foundation for the evidence you are eliciting.</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 xml:space="preserve">Be logical.  </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Options:</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Chronological.</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Dramatic impact.</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Start broad then narrow in.</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 xml:space="preserve">Do not lead on important evidence!  </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If your witness forgets certain facts, you can exhaust their memory and lead a bit.</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 xml:space="preserve">Ex.:  </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What time did the accident happen?</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Was it in the afternoon?</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I suggest it was 1:00 pm., does that accord with your recollection.</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Have documents organized.</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In some cases, documents have to be proven through a witness.</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Inoculate the weaknesses?  Judgment call.</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 xml:space="preserve">Ex. hurtful info in document – not sure if </w:t>
      </w:r>
      <w:proofErr w:type="spellStart"/>
      <w:r w:rsidRPr="004737DB">
        <w:rPr>
          <w:rFonts w:ascii="Arial" w:hAnsi="Arial" w:cs="Arial"/>
        </w:rPr>
        <w:t>def</w:t>
      </w:r>
      <w:proofErr w:type="spellEnd"/>
      <w:r w:rsidRPr="004737DB">
        <w:rPr>
          <w:rFonts w:ascii="Arial" w:hAnsi="Arial" w:cs="Arial"/>
        </w:rPr>
        <w:t xml:space="preserve"> will pick it up</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Ex. surveillance</w:t>
      </w:r>
    </w:p>
    <w:p w:rsidR="00C2132A" w:rsidRPr="004737DB" w:rsidRDefault="00C2132A" w:rsidP="00C2132A">
      <w:pPr>
        <w:pStyle w:val="ListParagraph"/>
        <w:numPr>
          <w:ilvl w:val="0"/>
          <w:numId w:val="12"/>
        </w:numPr>
        <w:spacing w:after="200"/>
        <w:contextualSpacing w:val="0"/>
        <w:rPr>
          <w:rFonts w:ascii="Arial" w:hAnsi="Arial" w:cs="Arial"/>
        </w:rPr>
      </w:pPr>
      <w:r w:rsidRPr="004737DB">
        <w:rPr>
          <w:rFonts w:ascii="Arial" w:hAnsi="Arial" w:cs="Arial"/>
        </w:rPr>
        <w:t>LISTEN TO THE WITNESS</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If their answer is unclear or confusing, ask them to clarify or explain.</w:t>
      </w:r>
    </w:p>
    <w:p w:rsidR="00C2132A" w:rsidRPr="004737DB"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They might answer &gt; 1 question at once so don’t ask the other question.</w:t>
      </w:r>
    </w:p>
    <w:p w:rsidR="00C2132A" w:rsidRDefault="00C2132A" w:rsidP="00C2132A">
      <w:pPr>
        <w:pStyle w:val="ListParagraph"/>
        <w:numPr>
          <w:ilvl w:val="1"/>
          <w:numId w:val="12"/>
        </w:numPr>
        <w:spacing w:after="200"/>
        <w:contextualSpacing w:val="0"/>
        <w:rPr>
          <w:rFonts w:ascii="Arial" w:hAnsi="Arial" w:cs="Arial"/>
        </w:rPr>
      </w:pPr>
      <w:r w:rsidRPr="004737DB">
        <w:rPr>
          <w:rFonts w:ascii="Arial" w:hAnsi="Arial" w:cs="Arial"/>
        </w:rPr>
        <w:t xml:space="preserve">Unexpected answer.  Might have opportunity to speak to witness to clarify </w:t>
      </w:r>
    </w:p>
    <w:p w:rsidR="00C2132A" w:rsidRPr="002F17FD" w:rsidRDefault="00C2132A" w:rsidP="002F17FD">
      <w:pPr>
        <w:pStyle w:val="Default"/>
        <w:keepNext/>
        <w:keepLines/>
        <w:spacing w:before="360" w:after="360"/>
        <w:jc w:val="both"/>
        <w:rPr>
          <w:rFonts w:ascii="Arial" w:hAnsi="Arial" w:cs="Arial"/>
          <w:b/>
          <w:i/>
        </w:rPr>
      </w:pPr>
      <w:r w:rsidRPr="002F17FD">
        <w:rPr>
          <w:rFonts w:ascii="Arial" w:hAnsi="Arial" w:cs="Arial"/>
          <w:b/>
          <w:i/>
        </w:rPr>
        <w:lastRenderedPageBreak/>
        <w:t>C</w:t>
      </w:r>
      <w:r w:rsidR="00096C43">
        <w:rPr>
          <w:rFonts w:ascii="Arial" w:hAnsi="Arial" w:cs="Arial"/>
          <w:b/>
          <w:i/>
        </w:rPr>
        <w:t>ross-Examination</w:t>
      </w:r>
    </w:p>
    <w:p w:rsidR="00C2132A" w:rsidRPr="004737DB" w:rsidRDefault="002F17FD" w:rsidP="00C2132A">
      <w:pPr>
        <w:spacing w:after="200"/>
        <w:rPr>
          <w:rFonts w:ascii="Arial" w:hAnsi="Arial" w:cs="Arial"/>
        </w:rPr>
      </w:pPr>
      <w:r>
        <w:rPr>
          <w:rFonts w:ascii="Arial" w:hAnsi="Arial" w:cs="Arial"/>
        </w:rPr>
        <w:t xml:space="preserve">Cross-Examination: </w:t>
      </w:r>
      <w:r w:rsidR="00C2132A" w:rsidRPr="004737DB">
        <w:rPr>
          <w:rFonts w:ascii="Arial" w:hAnsi="Arial" w:cs="Arial"/>
        </w:rPr>
        <w:t>seek</w:t>
      </w:r>
      <w:r w:rsidR="00096C43">
        <w:rPr>
          <w:rFonts w:ascii="Arial" w:hAnsi="Arial" w:cs="Arial"/>
        </w:rPr>
        <w:t>ing</w:t>
      </w:r>
      <w:r w:rsidR="00C2132A" w:rsidRPr="004737DB">
        <w:rPr>
          <w:rFonts w:ascii="Arial" w:hAnsi="Arial" w:cs="Arial"/>
        </w:rPr>
        <w:t xml:space="preserve"> admissions or denials that assist your case.</w:t>
      </w:r>
    </w:p>
    <w:p w:rsidR="00C2132A" w:rsidRPr="004737DB" w:rsidRDefault="00C2132A" w:rsidP="00C2132A">
      <w:pPr>
        <w:pStyle w:val="ListParagraph"/>
        <w:numPr>
          <w:ilvl w:val="0"/>
          <w:numId w:val="14"/>
        </w:numPr>
        <w:spacing w:after="200"/>
        <w:contextualSpacing w:val="0"/>
        <w:rPr>
          <w:rFonts w:ascii="Arial" w:hAnsi="Arial" w:cs="Arial"/>
        </w:rPr>
      </w:pPr>
      <w:r w:rsidRPr="004737DB">
        <w:rPr>
          <w:rFonts w:ascii="Arial" w:hAnsi="Arial" w:cs="Arial"/>
        </w:rPr>
        <w:t>Effective cross-examination can have a profound impact on the evidence a witness gave in chief and their credibility.</w:t>
      </w:r>
    </w:p>
    <w:p w:rsidR="00C2132A" w:rsidRPr="004737DB" w:rsidRDefault="00C2132A" w:rsidP="00C2132A">
      <w:pPr>
        <w:pStyle w:val="ListParagraph"/>
        <w:numPr>
          <w:ilvl w:val="0"/>
          <w:numId w:val="14"/>
        </w:numPr>
        <w:spacing w:after="200"/>
        <w:contextualSpacing w:val="0"/>
        <w:rPr>
          <w:rFonts w:ascii="Arial" w:hAnsi="Arial" w:cs="Arial"/>
        </w:rPr>
      </w:pPr>
      <w:r w:rsidRPr="004737DB">
        <w:rPr>
          <w:rFonts w:ascii="Arial" w:hAnsi="Arial" w:cs="Arial"/>
        </w:rPr>
        <w:t>Very critical aspect.</w:t>
      </w:r>
    </w:p>
    <w:p w:rsidR="00C2132A" w:rsidRPr="004737DB" w:rsidRDefault="00C2132A" w:rsidP="00C2132A">
      <w:pPr>
        <w:pStyle w:val="ListParagraph"/>
        <w:numPr>
          <w:ilvl w:val="0"/>
          <w:numId w:val="14"/>
        </w:numPr>
        <w:spacing w:after="200"/>
        <w:contextualSpacing w:val="0"/>
        <w:rPr>
          <w:rFonts w:ascii="Arial" w:hAnsi="Arial" w:cs="Arial"/>
        </w:rPr>
      </w:pPr>
      <w:r w:rsidRPr="004737DB">
        <w:rPr>
          <w:rFonts w:ascii="Arial" w:hAnsi="Arial" w:cs="Arial"/>
        </w:rPr>
        <w:t>Prepare, prepare, prepare!</w:t>
      </w:r>
    </w:p>
    <w:p w:rsidR="00C2132A" w:rsidRPr="004737DB" w:rsidRDefault="00C2132A" w:rsidP="00C2132A">
      <w:pPr>
        <w:pStyle w:val="ListParagraph"/>
        <w:numPr>
          <w:ilvl w:val="0"/>
          <w:numId w:val="14"/>
        </w:numPr>
        <w:spacing w:after="200"/>
        <w:contextualSpacing w:val="0"/>
        <w:rPr>
          <w:rFonts w:ascii="Arial" w:hAnsi="Arial" w:cs="Arial"/>
        </w:rPr>
      </w:pPr>
      <w:r w:rsidRPr="004737DB">
        <w:rPr>
          <w:rFonts w:ascii="Arial" w:hAnsi="Arial" w:cs="Arial"/>
        </w:rPr>
        <w:t>Questions should lead to the answer (yes or no).</w:t>
      </w:r>
    </w:p>
    <w:p w:rsidR="00C2132A" w:rsidRPr="00096C43" w:rsidRDefault="00096C43" w:rsidP="0023222F">
      <w:pPr>
        <w:pStyle w:val="ListParagraph"/>
        <w:numPr>
          <w:ilvl w:val="1"/>
          <w:numId w:val="14"/>
        </w:numPr>
        <w:spacing w:after="200"/>
        <w:contextualSpacing w:val="0"/>
        <w:rPr>
          <w:rFonts w:ascii="Arial" w:hAnsi="Arial" w:cs="Arial"/>
        </w:rPr>
      </w:pPr>
      <w:r>
        <w:rPr>
          <w:rFonts w:ascii="Arial" w:hAnsi="Arial" w:cs="Arial"/>
        </w:rPr>
        <w:t>“</w:t>
      </w:r>
      <w:r w:rsidRPr="00096C43">
        <w:rPr>
          <w:rFonts w:ascii="Arial" w:hAnsi="Arial" w:cs="Arial"/>
        </w:rPr>
        <w:t>What time did you arrive</w:t>
      </w:r>
      <w:r>
        <w:rPr>
          <w:rFonts w:ascii="Arial" w:hAnsi="Arial" w:cs="Arial"/>
        </w:rPr>
        <w:t>?”</w:t>
      </w:r>
      <w:r w:rsidRPr="00096C43">
        <w:rPr>
          <w:rFonts w:ascii="Arial" w:hAnsi="Arial" w:cs="Arial"/>
        </w:rPr>
        <w:t xml:space="preserve"> versus</w:t>
      </w:r>
      <w:r>
        <w:rPr>
          <w:rFonts w:ascii="Arial" w:hAnsi="Arial" w:cs="Arial"/>
        </w:rPr>
        <w:t xml:space="preserve"> “</w:t>
      </w:r>
      <w:r w:rsidR="00C2132A" w:rsidRPr="00096C43">
        <w:rPr>
          <w:rFonts w:ascii="Arial" w:hAnsi="Arial" w:cs="Arial"/>
        </w:rPr>
        <w:t>You arrived at 1:00 p.m., correct</w:t>
      </w:r>
      <w:r>
        <w:rPr>
          <w:rFonts w:ascii="Arial" w:hAnsi="Arial" w:cs="Arial"/>
        </w:rPr>
        <w:t>”</w:t>
      </w:r>
      <w:r w:rsidR="00C2132A" w:rsidRPr="00096C43">
        <w:rPr>
          <w:rFonts w:ascii="Arial" w:hAnsi="Arial" w:cs="Arial"/>
        </w:rPr>
        <w:t>?</w:t>
      </w:r>
    </w:p>
    <w:p w:rsidR="00C2132A" w:rsidRPr="004737DB" w:rsidRDefault="00C2132A" w:rsidP="00C2132A">
      <w:pPr>
        <w:spacing w:after="200"/>
        <w:rPr>
          <w:rFonts w:ascii="Arial" w:hAnsi="Arial" w:cs="Arial"/>
        </w:rPr>
      </w:pPr>
      <w:r w:rsidRPr="004737DB">
        <w:rPr>
          <w:rFonts w:ascii="Arial" w:hAnsi="Arial" w:cs="Arial"/>
        </w:rPr>
        <w:t>Do you have to cross-examine every witness?</w:t>
      </w:r>
    </w:p>
    <w:p w:rsidR="00C2132A" w:rsidRPr="004737DB" w:rsidRDefault="00C2132A" w:rsidP="00C2132A">
      <w:pPr>
        <w:pStyle w:val="ListParagraph"/>
        <w:numPr>
          <w:ilvl w:val="0"/>
          <w:numId w:val="14"/>
        </w:numPr>
        <w:spacing w:after="200"/>
        <w:contextualSpacing w:val="0"/>
        <w:rPr>
          <w:rFonts w:ascii="Arial" w:hAnsi="Arial" w:cs="Arial"/>
        </w:rPr>
      </w:pPr>
      <w:r w:rsidRPr="004737DB">
        <w:rPr>
          <w:rFonts w:ascii="Arial" w:hAnsi="Arial" w:cs="Arial"/>
        </w:rPr>
        <w:t>No.  Resist the urge to cross-examine just because.</w:t>
      </w:r>
    </w:p>
    <w:p w:rsidR="00C2132A" w:rsidRPr="004737DB" w:rsidRDefault="00C2132A" w:rsidP="00C2132A">
      <w:pPr>
        <w:pStyle w:val="ListParagraph"/>
        <w:numPr>
          <w:ilvl w:val="0"/>
          <w:numId w:val="14"/>
        </w:numPr>
        <w:spacing w:after="200"/>
        <w:contextualSpacing w:val="0"/>
        <w:rPr>
          <w:rFonts w:ascii="Arial" w:hAnsi="Arial" w:cs="Arial"/>
        </w:rPr>
      </w:pPr>
      <w:r w:rsidRPr="004737DB">
        <w:rPr>
          <w:rFonts w:ascii="Arial" w:hAnsi="Arial" w:cs="Arial"/>
        </w:rPr>
        <w:t>Identify the topics or areas that you want to cross-examine the witness on.</w:t>
      </w:r>
    </w:p>
    <w:p w:rsidR="00C2132A" w:rsidRPr="004737DB" w:rsidRDefault="00C2132A" w:rsidP="00C2132A">
      <w:pPr>
        <w:pStyle w:val="ListParagraph"/>
        <w:numPr>
          <w:ilvl w:val="0"/>
          <w:numId w:val="14"/>
        </w:numPr>
        <w:spacing w:after="200"/>
        <w:contextualSpacing w:val="0"/>
        <w:rPr>
          <w:rFonts w:ascii="Arial" w:hAnsi="Arial" w:cs="Arial"/>
        </w:rPr>
      </w:pPr>
      <w:r w:rsidRPr="004737DB">
        <w:rPr>
          <w:rFonts w:ascii="Arial" w:hAnsi="Arial" w:cs="Arial"/>
        </w:rPr>
        <w:t xml:space="preserve">Consider whether the evidence will help your case or injure the other party’s case.  </w:t>
      </w:r>
    </w:p>
    <w:p w:rsidR="00C2132A" w:rsidRPr="004737DB" w:rsidRDefault="00C2132A" w:rsidP="00C2132A">
      <w:pPr>
        <w:pStyle w:val="ListParagraph"/>
        <w:numPr>
          <w:ilvl w:val="0"/>
          <w:numId w:val="14"/>
        </w:numPr>
        <w:spacing w:after="200"/>
        <w:contextualSpacing w:val="0"/>
        <w:rPr>
          <w:rFonts w:ascii="Arial" w:hAnsi="Arial" w:cs="Arial"/>
        </w:rPr>
      </w:pPr>
      <w:r w:rsidRPr="004737DB">
        <w:rPr>
          <w:rFonts w:ascii="Arial" w:hAnsi="Arial" w:cs="Arial"/>
        </w:rPr>
        <w:t>When do you NOT cross-examine?  If the witness’ evidence in direct does not harm your case.</w:t>
      </w:r>
    </w:p>
    <w:p w:rsidR="00C2132A" w:rsidRPr="004737DB" w:rsidRDefault="00C2132A" w:rsidP="00C2132A">
      <w:pPr>
        <w:pStyle w:val="ListParagraph"/>
        <w:numPr>
          <w:ilvl w:val="0"/>
          <w:numId w:val="14"/>
        </w:numPr>
        <w:spacing w:after="200"/>
        <w:contextualSpacing w:val="0"/>
        <w:rPr>
          <w:rFonts w:ascii="Arial" w:hAnsi="Arial" w:cs="Arial"/>
        </w:rPr>
      </w:pPr>
      <w:r w:rsidRPr="004737DB">
        <w:rPr>
          <w:rFonts w:ascii="Arial" w:hAnsi="Arial" w:cs="Arial"/>
        </w:rPr>
        <w:t>If there is no evidence that you can get from this witness that will assist your case.</w:t>
      </w:r>
    </w:p>
    <w:p w:rsidR="00C2132A" w:rsidRPr="004737DB" w:rsidRDefault="00C2132A" w:rsidP="00C2132A">
      <w:pPr>
        <w:spacing w:after="200"/>
        <w:rPr>
          <w:rFonts w:ascii="Arial" w:hAnsi="Arial" w:cs="Arial"/>
        </w:rPr>
      </w:pPr>
      <w:r w:rsidRPr="004737DB">
        <w:rPr>
          <w:rFonts w:ascii="Arial" w:hAnsi="Arial" w:cs="Arial"/>
        </w:rPr>
        <w:t>Organization of the Cross-Examination</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Goal – maintain control of the witnesses’ evidence.</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Every question must have a purpose.  Every question must contribute to building your client’s case or undermining the opposing case.</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Short – get in, get out.  There are exceptions.</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Common error – re-iterating the witnesses’ examination in chief.</w:t>
      </w:r>
      <w:r w:rsidR="00096C43">
        <w:rPr>
          <w:rFonts w:ascii="Arial" w:hAnsi="Arial" w:cs="Arial"/>
        </w:rPr>
        <w:t xml:space="preserve"> Don’t do this.</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 xml:space="preserve">Consider what strategy you need to use?  </w:t>
      </w:r>
    </w:p>
    <w:p w:rsidR="00C2132A" w:rsidRPr="004737DB" w:rsidRDefault="00C2132A" w:rsidP="00C2132A">
      <w:pPr>
        <w:pStyle w:val="ListParagraph"/>
        <w:numPr>
          <w:ilvl w:val="1"/>
          <w:numId w:val="15"/>
        </w:numPr>
        <w:spacing w:after="200"/>
        <w:contextualSpacing w:val="0"/>
        <w:rPr>
          <w:rFonts w:ascii="Arial" w:hAnsi="Arial" w:cs="Arial"/>
        </w:rPr>
      </w:pPr>
      <w:r w:rsidRPr="004737DB">
        <w:rPr>
          <w:rFonts w:ascii="Arial" w:hAnsi="Arial" w:cs="Arial"/>
        </w:rPr>
        <w:t xml:space="preserve">Attract bees with honey </w:t>
      </w:r>
    </w:p>
    <w:p w:rsidR="00C2132A" w:rsidRPr="004737DB" w:rsidRDefault="00C2132A" w:rsidP="00C2132A">
      <w:pPr>
        <w:pStyle w:val="ListParagraph"/>
        <w:numPr>
          <w:ilvl w:val="1"/>
          <w:numId w:val="15"/>
        </w:numPr>
        <w:spacing w:after="200"/>
        <w:contextualSpacing w:val="0"/>
        <w:rPr>
          <w:rFonts w:ascii="Arial" w:hAnsi="Arial" w:cs="Arial"/>
        </w:rPr>
      </w:pPr>
      <w:r w:rsidRPr="004737DB">
        <w:rPr>
          <w:rFonts w:ascii="Arial" w:hAnsi="Arial" w:cs="Arial"/>
        </w:rPr>
        <w:t>Intimidate into submissiveness</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Sequence your questions to lay the proper foundation to get you to your end goal.</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lastRenderedPageBreak/>
        <w:t>Be logical.  For each question, consider the potential range of answers and where you go from there depending on the answer.  Like a decision tree.</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 xml:space="preserve">If the person you are cross-examining is a party, use the discovery transcript to help you prepare your cross.  If you are asking a question that was covered in discovery, make sure you know </w:t>
      </w:r>
      <w:r w:rsidR="00096C43">
        <w:rPr>
          <w:rFonts w:ascii="Arial" w:hAnsi="Arial" w:cs="Arial"/>
        </w:rPr>
        <w:t>that transcript</w:t>
      </w:r>
      <w:r w:rsidRPr="004737DB">
        <w:rPr>
          <w:rFonts w:ascii="Arial" w:hAnsi="Arial" w:cs="Arial"/>
        </w:rPr>
        <w:t xml:space="preserve"> so you can impeach them if they change their evidence.</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If you have a witness statement for that witness, you can use it to guide your cross-examination.  If changes evidence, you can use that statement to impeach their credibility.</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Can also use discovery transcripts to elicit helpful evidence.</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Consider what documents you want to put to that witness and organize them within the context of your cross-examination goals.</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Suppress the urge to ask that last question – it can get you into trouble.</w:t>
      </w:r>
    </w:p>
    <w:p w:rsidR="00C2132A" w:rsidRPr="004737DB"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Do not ask a question that you do not know the answer to unless the answer does not hurt your case either way.</w:t>
      </w:r>
    </w:p>
    <w:p w:rsidR="00C2132A" w:rsidRPr="004737DB" w:rsidRDefault="00C2132A" w:rsidP="00C2132A">
      <w:pPr>
        <w:pStyle w:val="ListParagraph"/>
        <w:numPr>
          <w:ilvl w:val="0"/>
          <w:numId w:val="15"/>
        </w:numPr>
        <w:spacing w:after="200"/>
        <w:contextualSpacing w:val="0"/>
        <w:rPr>
          <w:rFonts w:ascii="Arial" w:hAnsi="Arial" w:cs="Arial"/>
        </w:rPr>
      </w:pPr>
      <w:r w:rsidRPr="004B4011">
        <w:rPr>
          <w:rFonts w:ascii="Arial" w:hAnsi="Arial" w:cs="Arial"/>
          <w:i/>
        </w:rPr>
        <w:t>Browne v Dunn</w:t>
      </w:r>
      <w:r w:rsidRPr="004737DB">
        <w:rPr>
          <w:rFonts w:ascii="Arial" w:hAnsi="Arial" w:cs="Arial"/>
        </w:rPr>
        <w:t xml:space="preserve"> = if you intend to argue a theory or make an allegation, you must put that theory or allegation to the witness to permit them to rebut it otherwise you cannot make the argument.</w:t>
      </w:r>
    </w:p>
    <w:p w:rsidR="00C2132A" w:rsidRPr="004737DB" w:rsidRDefault="00C2132A" w:rsidP="00C2132A">
      <w:pPr>
        <w:pStyle w:val="ListParagraph"/>
        <w:numPr>
          <w:ilvl w:val="1"/>
          <w:numId w:val="15"/>
        </w:numPr>
        <w:spacing w:after="200"/>
        <w:contextualSpacing w:val="0"/>
        <w:rPr>
          <w:rFonts w:ascii="Arial" w:hAnsi="Arial" w:cs="Arial"/>
        </w:rPr>
      </w:pPr>
      <w:r w:rsidRPr="004737DB">
        <w:rPr>
          <w:rFonts w:ascii="Arial" w:hAnsi="Arial" w:cs="Arial"/>
        </w:rPr>
        <w:t xml:space="preserve">Ex.  If the </w:t>
      </w:r>
      <w:proofErr w:type="spellStart"/>
      <w:r w:rsidRPr="004737DB">
        <w:rPr>
          <w:rFonts w:ascii="Arial" w:hAnsi="Arial" w:cs="Arial"/>
        </w:rPr>
        <w:t>defence</w:t>
      </w:r>
      <w:proofErr w:type="spellEnd"/>
      <w:r w:rsidRPr="004737DB">
        <w:rPr>
          <w:rFonts w:ascii="Arial" w:hAnsi="Arial" w:cs="Arial"/>
        </w:rPr>
        <w:t xml:space="preserve"> is arguing that there are other explanations for why the plaintiff is injured or why they cannot work, they must put those explanations to the plaintiff on cross otherwise they cannot make those arguments in closing.</w:t>
      </w:r>
    </w:p>
    <w:p w:rsidR="00C2132A" w:rsidRPr="004737DB" w:rsidRDefault="00C2132A" w:rsidP="00C2132A">
      <w:pPr>
        <w:pStyle w:val="ListParagraph"/>
        <w:numPr>
          <w:ilvl w:val="1"/>
          <w:numId w:val="15"/>
        </w:numPr>
        <w:spacing w:after="200"/>
        <w:contextualSpacing w:val="0"/>
        <w:rPr>
          <w:rFonts w:ascii="Arial" w:hAnsi="Arial" w:cs="Arial"/>
        </w:rPr>
      </w:pPr>
      <w:r w:rsidRPr="004737DB">
        <w:rPr>
          <w:rFonts w:ascii="Arial" w:hAnsi="Arial" w:cs="Arial"/>
        </w:rPr>
        <w:t xml:space="preserve">Ex.  </w:t>
      </w:r>
    </w:p>
    <w:p w:rsidR="00C2132A" w:rsidRPr="004737DB" w:rsidRDefault="00C2132A" w:rsidP="00C2132A">
      <w:pPr>
        <w:pStyle w:val="ListParagraph"/>
        <w:numPr>
          <w:ilvl w:val="2"/>
          <w:numId w:val="15"/>
        </w:numPr>
        <w:spacing w:after="200"/>
        <w:contextualSpacing w:val="0"/>
        <w:rPr>
          <w:rFonts w:ascii="Arial" w:hAnsi="Arial" w:cs="Arial"/>
        </w:rPr>
      </w:pPr>
      <w:r w:rsidRPr="004737DB">
        <w:rPr>
          <w:rFonts w:ascii="Arial" w:hAnsi="Arial" w:cs="Arial"/>
        </w:rPr>
        <w:t>Not the accident that caused the injury but rather a slip and fall at work (Foster).</w:t>
      </w:r>
    </w:p>
    <w:p w:rsidR="00C2132A" w:rsidRPr="004737DB" w:rsidRDefault="00C2132A" w:rsidP="00C2132A">
      <w:pPr>
        <w:pStyle w:val="ListParagraph"/>
        <w:numPr>
          <w:ilvl w:val="2"/>
          <w:numId w:val="15"/>
        </w:numPr>
        <w:spacing w:after="200"/>
        <w:contextualSpacing w:val="0"/>
        <w:rPr>
          <w:rFonts w:ascii="Arial" w:hAnsi="Arial" w:cs="Arial"/>
        </w:rPr>
      </w:pPr>
      <w:r w:rsidRPr="004737DB">
        <w:rPr>
          <w:rFonts w:ascii="Arial" w:hAnsi="Arial" w:cs="Arial"/>
        </w:rPr>
        <w:t>Did not stop working because of physical restrictions or limitations caused by injury but rather due to interpersonal difficulties at work.</w:t>
      </w:r>
    </w:p>
    <w:p w:rsidR="00C2132A" w:rsidRDefault="00C2132A" w:rsidP="00C2132A">
      <w:pPr>
        <w:pStyle w:val="ListParagraph"/>
        <w:numPr>
          <w:ilvl w:val="0"/>
          <w:numId w:val="15"/>
        </w:numPr>
        <w:spacing w:after="200"/>
        <w:contextualSpacing w:val="0"/>
        <w:rPr>
          <w:rFonts w:ascii="Arial" w:hAnsi="Arial" w:cs="Arial"/>
        </w:rPr>
      </w:pPr>
      <w:r w:rsidRPr="004737DB">
        <w:rPr>
          <w:rFonts w:ascii="Arial" w:hAnsi="Arial" w:cs="Arial"/>
        </w:rPr>
        <w:t>Make sure you are accurately reciting evidence if you are putti</w:t>
      </w:r>
      <w:r>
        <w:rPr>
          <w:rFonts w:ascii="Arial" w:hAnsi="Arial" w:cs="Arial"/>
        </w:rPr>
        <w:t>ng it to a witness.  Do not mis</w:t>
      </w:r>
      <w:r w:rsidRPr="004737DB">
        <w:rPr>
          <w:rFonts w:ascii="Arial" w:hAnsi="Arial" w:cs="Arial"/>
        </w:rPr>
        <w:t xml:space="preserve">state their evidence from direct or other evidence (ex. Statements made to doctors </w:t>
      </w:r>
      <w:proofErr w:type="spellStart"/>
      <w:r w:rsidRPr="004737DB">
        <w:rPr>
          <w:rFonts w:ascii="Arial" w:hAnsi="Arial" w:cs="Arial"/>
        </w:rPr>
        <w:t>etc</w:t>
      </w:r>
      <w:proofErr w:type="spellEnd"/>
      <w:r w:rsidRPr="004737DB">
        <w:rPr>
          <w:rFonts w:ascii="Arial" w:hAnsi="Arial" w:cs="Arial"/>
        </w:rPr>
        <w:t>).</w:t>
      </w:r>
    </w:p>
    <w:p w:rsidR="00FA40C9" w:rsidRPr="00C76C1B" w:rsidRDefault="00FA40C9" w:rsidP="00C76C1B">
      <w:pPr>
        <w:spacing w:after="200"/>
        <w:ind w:firstLine="360"/>
        <w:rPr>
          <w:rFonts w:ascii="Arial" w:hAnsi="Arial" w:cs="Arial"/>
          <w:b/>
          <w:i/>
        </w:rPr>
      </w:pPr>
      <w:r w:rsidRPr="00C76C1B">
        <w:rPr>
          <w:rFonts w:ascii="Arial" w:hAnsi="Arial" w:cs="Arial"/>
          <w:b/>
          <w:i/>
        </w:rPr>
        <w:t>Scope of Cross-Examination</w:t>
      </w:r>
    </w:p>
    <w:p w:rsidR="008B24D6" w:rsidRPr="00EC3719" w:rsidRDefault="00FA40C9" w:rsidP="00907717">
      <w:pPr>
        <w:pStyle w:val="ListParagraph"/>
        <w:numPr>
          <w:ilvl w:val="0"/>
          <w:numId w:val="15"/>
        </w:numPr>
        <w:spacing w:after="200"/>
        <w:contextualSpacing w:val="0"/>
        <w:rPr>
          <w:rFonts w:ascii="Arial" w:hAnsi="Arial" w:cs="Arial"/>
        </w:rPr>
      </w:pPr>
      <w:r>
        <w:rPr>
          <w:rFonts w:ascii="Arial" w:hAnsi="Arial" w:cs="Arial"/>
        </w:rPr>
        <w:t xml:space="preserve">In </w:t>
      </w:r>
      <w:r>
        <w:rPr>
          <w:rFonts w:ascii="Arial" w:hAnsi="Arial" w:cs="Arial"/>
          <w:i/>
        </w:rPr>
        <w:t xml:space="preserve">Mazur v. Lucas, </w:t>
      </w:r>
      <w:r>
        <w:rPr>
          <w:rFonts w:ascii="Arial" w:hAnsi="Arial" w:cs="Arial"/>
          <w:color w:val="000000"/>
        </w:rPr>
        <w:t>2014 BCCA 19, the BC Court of Appeal confirmed that potential bias is a legitimate subject of q</w:t>
      </w:r>
      <w:r w:rsidR="00EC3719">
        <w:rPr>
          <w:rFonts w:ascii="Arial" w:hAnsi="Arial" w:cs="Arial"/>
          <w:color w:val="000000"/>
        </w:rPr>
        <w:t xml:space="preserve">uestioning in cross (para. 25): </w:t>
      </w:r>
    </w:p>
    <w:p w:rsidR="00EC3719" w:rsidRPr="00EC3719" w:rsidRDefault="00EC3719" w:rsidP="00EC3719">
      <w:pPr>
        <w:ind w:left="810"/>
        <w:jc w:val="both"/>
        <w:rPr>
          <w:rFonts w:ascii="Arial" w:eastAsia="Times New Roman" w:hAnsi="Arial" w:cs="Arial"/>
          <w:lang w:val="en"/>
        </w:rPr>
      </w:pPr>
      <w:r w:rsidRPr="00EC3719">
        <w:rPr>
          <w:rFonts w:ascii="Arial" w:eastAsia="Times New Roman" w:hAnsi="Arial" w:cs="Arial"/>
          <w:lang w:val="en"/>
        </w:rPr>
        <w:t>[</w:t>
      </w:r>
      <w:bookmarkStart w:id="1" w:name="par25"/>
      <w:r w:rsidRPr="00EC3719">
        <w:rPr>
          <w:rFonts w:ascii="Arial" w:eastAsia="Times New Roman" w:hAnsi="Arial" w:cs="Arial"/>
          <w:lang w:val="en"/>
        </w:rPr>
        <w:t>25</w:t>
      </w:r>
      <w:bookmarkEnd w:id="1"/>
      <w:r w:rsidRPr="00EC3719">
        <w:rPr>
          <w:rFonts w:ascii="Arial" w:eastAsia="Times New Roman" w:hAnsi="Arial" w:cs="Arial"/>
          <w:lang w:val="en"/>
        </w:rPr>
        <w:t>]</w:t>
      </w:r>
      <w:r w:rsidRPr="00EC3719">
        <w:rPr>
          <w:rFonts w:ascii="Arial" w:eastAsia="Times New Roman" w:hAnsi="Arial" w:cs="Arial"/>
          <w:sz w:val="14"/>
          <w:szCs w:val="14"/>
          <w:lang w:val="en"/>
        </w:rPr>
        <w:t xml:space="preserve">        </w:t>
      </w:r>
      <w:r w:rsidRPr="00EC3719">
        <w:rPr>
          <w:rFonts w:ascii="Arial" w:eastAsia="Times New Roman" w:hAnsi="Arial" w:cs="Arial"/>
          <w:lang w:val="en"/>
        </w:rPr>
        <w:t xml:space="preserve">I agree with the respondents that the questions put to Ms. Morrison on cross-examination appropriately probed any potential bias arising out of her dual role as a witness from the law firm employing Ms. Mazur and as a management employee of the law firm representing Ms. Mazur. The cross-examination of a witness with respect to potential bias is a legitimate subject of questioning. </w:t>
      </w:r>
    </w:p>
    <w:p w:rsidR="00EC3719" w:rsidRPr="00907717" w:rsidRDefault="00EC3719" w:rsidP="00EC3719">
      <w:pPr>
        <w:pStyle w:val="ListParagraph"/>
        <w:spacing w:after="200"/>
        <w:contextualSpacing w:val="0"/>
        <w:rPr>
          <w:rFonts w:ascii="Arial" w:hAnsi="Arial" w:cs="Arial"/>
        </w:rPr>
      </w:pPr>
    </w:p>
    <w:p w:rsidR="00907717" w:rsidRDefault="00907717" w:rsidP="00EC3719">
      <w:pPr>
        <w:keepNext/>
        <w:keepLines/>
        <w:spacing w:after="240"/>
        <w:rPr>
          <w:rFonts w:ascii="Arial" w:hAnsi="Arial" w:cs="Arial"/>
        </w:rPr>
      </w:pPr>
      <w:r>
        <w:rPr>
          <w:rFonts w:ascii="Arial" w:hAnsi="Arial" w:cs="Arial"/>
        </w:rPr>
        <w:lastRenderedPageBreak/>
        <w:t>Sometimes cross-examination is all you have</w:t>
      </w:r>
    </w:p>
    <w:p w:rsidR="00907717" w:rsidRPr="00096C43" w:rsidRDefault="00907717" w:rsidP="00096C43">
      <w:pPr>
        <w:pStyle w:val="ListParagraph"/>
        <w:numPr>
          <w:ilvl w:val="0"/>
          <w:numId w:val="15"/>
        </w:numPr>
        <w:spacing w:after="200"/>
        <w:rPr>
          <w:rFonts w:ascii="Arial" w:hAnsi="Arial" w:cs="Arial"/>
        </w:rPr>
      </w:pPr>
      <w:r>
        <w:rPr>
          <w:rFonts w:ascii="Arial" w:hAnsi="Arial" w:cs="Arial"/>
        </w:rPr>
        <w:t xml:space="preserve">See </w:t>
      </w:r>
      <w:r>
        <w:rPr>
          <w:rFonts w:ascii="Arial" w:hAnsi="Arial" w:cs="Arial"/>
          <w:i/>
        </w:rPr>
        <w:t xml:space="preserve">McLaren v. Rice, </w:t>
      </w:r>
      <w:r>
        <w:rPr>
          <w:rFonts w:ascii="Arial" w:hAnsi="Arial" w:cs="Arial"/>
          <w:color w:val="000000"/>
          <w:shd w:val="clear" w:color="auto" w:fill="FFFFFF"/>
        </w:rPr>
        <w:t>2009 BCSC 1457</w:t>
      </w:r>
    </w:p>
    <w:p w:rsidR="00907717" w:rsidRPr="00907717" w:rsidRDefault="00907717" w:rsidP="00EC3719">
      <w:pPr>
        <w:shd w:val="clear" w:color="auto" w:fill="FFFFFF"/>
        <w:spacing w:after="240" w:line="360" w:lineRule="atLeast"/>
        <w:ind w:left="720"/>
        <w:jc w:val="both"/>
        <w:rPr>
          <w:rFonts w:ascii="Arial" w:eastAsia="Times New Roman" w:hAnsi="Arial" w:cs="Arial"/>
          <w:i/>
          <w:color w:val="000000"/>
          <w:szCs w:val="27"/>
        </w:rPr>
      </w:pPr>
      <w:r w:rsidRPr="00907717">
        <w:rPr>
          <w:rFonts w:ascii="Arial" w:eastAsia="Times New Roman" w:hAnsi="Arial" w:cs="Arial"/>
          <w:i/>
          <w:color w:val="000000"/>
          <w:szCs w:val="27"/>
          <w:lang w:val="en-CA"/>
        </w:rPr>
        <w:t>[22]</w:t>
      </w:r>
      <w:r w:rsidRPr="00907717">
        <w:rPr>
          <w:rFonts w:ascii="Times New Roman" w:eastAsia="Times New Roman" w:hAnsi="Times New Roman" w:cs="Times New Roman"/>
          <w:i/>
          <w:color w:val="000000"/>
          <w:sz w:val="12"/>
          <w:szCs w:val="14"/>
          <w:lang w:val="en-CA"/>
        </w:rPr>
        <w:t>         </w:t>
      </w:r>
      <w:r w:rsidRPr="00907717">
        <w:rPr>
          <w:rFonts w:ascii="Arial" w:eastAsia="Times New Roman" w:hAnsi="Arial" w:cs="Arial"/>
          <w:i/>
          <w:color w:val="000000"/>
          <w:szCs w:val="27"/>
          <w:lang w:val="en-CA"/>
        </w:rPr>
        <w:t>The plaintiff sustained a closed head injury and fractured skull and has no memory of the accident.</w:t>
      </w:r>
    </w:p>
    <w:p w:rsidR="00907717" w:rsidRPr="00907717" w:rsidRDefault="00907717" w:rsidP="00EC3719">
      <w:pPr>
        <w:shd w:val="clear" w:color="auto" w:fill="FFFFFF"/>
        <w:spacing w:after="240" w:line="360" w:lineRule="atLeast"/>
        <w:ind w:left="720"/>
        <w:jc w:val="both"/>
        <w:rPr>
          <w:rFonts w:ascii="Arial" w:eastAsia="Times New Roman" w:hAnsi="Arial" w:cs="Arial"/>
          <w:i/>
          <w:color w:val="000000"/>
          <w:szCs w:val="27"/>
        </w:rPr>
      </w:pPr>
      <w:r w:rsidRPr="00907717">
        <w:rPr>
          <w:rFonts w:ascii="Arial" w:eastAsia="Times New Roman" w:hAnsi="Arial" w:cs="Arial"/>
          <w:i/>
          <w:color w:val="000000"/>
          <w:szCs w:val="27"/>
          <w:lang w:val="en-CA"/>
        </w:rPr>
        <w:t>[23]</w:t>
      </w:r>
      <w:r w:rsidRPr="00907717">
        <w:rPr>
          <w:rFonts w:ascii="Times New Roman" w:eastAsia="Times New Roman" w:hAnsi="Times New Roman" w:cs="Times New Roman"/>
          <w:i/>
          <w:color w:val="000000"/>
          <w:sz w:val="12"/>
          <w:szCs w:val="14"/>
          <w:lang w:val="en-CA"/>
        </w:rPr>
        <w:t>         </w:t>
      </w:r>
      <w:r w:rsidRPr="00907717">
        <w:rPr>
          <w:rFonts w:ascii="Arial" w:eastAsia="Times New Roman" w:hAnsi="Arial" w:cs="Arial"/>
          <w:i/>
          <w:color w:val="000000"/>
          <w:szCs w:val="27"/>
          <w:lang w:val="en-CA"/>
        </w:rPr>
        <w:t xml:space="preserve">The physical evidence at the scene of the accident as described by </w:t>
      </w:r>
      <w:proofErr w:type="spellStart"/>
      <w:r w:rsidRPr="00907717">
        <w:rPr>
          <w:rFonts w:ascii="Arial" w:eastAsia="Times New Roman" w:hAnsi="Arial" w:cs="Arial"/>
          <w:i/>
          <w:color w:val="000000"/>
          <w:szCs w:val="27"/>
          <w:lang w:val="en-CA"/>
        </w:rPr>
        <w:t>Cst</w:t>
      </w:r>
      <w:proofErr w:type="spellEnd"/>
      <w:r w:rsidRPr="00907717">
        <w:rPr>
          <w:rFonts w:ascii="Arial" w:eastAsia="Times New Roman" w:hAnsi="Arial" w:cs="Arial"/>
          <w:i/>
          <w:color w:val="000000"/>
          <w:szCs w:val="27"/>
          <w:lang w:val="en-CA"/>
        </w:rPr>
        <w:t>. Dyson discloses no braking marks on the roadway or any gouges on the roadway in the northerly direction of traffic or in the southbound lanes before the ditch.</w:t>
      </w:r>
    </w:p>
    <w:p w:rsidR="00907717" w:rsidRPr="00907717" w:rsidRDefault="00907717" w:rsidP="00EC3719">
      <w:pPr>
        <w:shd w:val="clear" w:color="auto" w:fill="FFFFFF"/>
        <w:spacing w:after="240" w:line="360" w:lineRule="atLeast"/>
        <w:ind w:left="720"/>
        <w:jc w:val="both"/>
        <w:rPr>
          <w:rFonts w:ascii="Arial" w:eastAsia="Times New Roman" w:hAnsi="Arial" w:cs="Arial"/>
          <w:i/>
          <w:color w:val="000000"/>
          <w:szCs w:val="27"/>
        </w:rPr>
      </w:pPr>
      <w:r w:rsidRPr="00907717">
        <w:rPr>
          <w:rFonts w:ascii="Arial" w:eastAsia="Times New Roman" w:hAnsi="Arial" w:cs="Arial"/>
          <w:i/>
          <w:color w:val="000000"/>
          <w:szCs w:val="27"/>
          <w:lang w:val="en-CA"/>
        </w:rPr>
        <w:t>[24]</w:t>
      </w:r>
      <w:r w:rsidRPr="00907717">
        <w:rPr>
          <w:rFonts w:ascii="Times New Roman" w:eastAsia="Times New Roman" w:hAnsi="Times New Roman" w:cs="Times New Roman"/>
          <w:i/>
          <w:color w:val="000000"/>
          <w:sz w:val="12"/>
          <w:szCs w:val="14"/>
          <w:lang w:val="en-CA"/>
        </w:rPr>
        <w:t>         </w:t>
      </w:r>
      <w:r w:rsidRPr="00907717">
        <w:rPr>
          <w:rFonts w:ascii="Arial" w:eastAsia="Times New Roman" w:hAnsi="Arial" w:cs="Arial"/>
          <w:i/>
          <w:color w:val="000000"/>
          <w:szCs w:val="27"/>
          <w:lang w:val="en-CA"/>
        </w:rPr>
        <w:t xml:space="preserve">There are significant inconsistencies and contradictions between the evidence given by </w:t>
      </w:r>
      <w:r w:rsidR="00096C43">
        <w:rPr>
          <w:rFonts w:ascii="Arial" w:eastAsia="Times New Roman" w:hAnsi="Arial" w:cs="Arial"/>
          <w:i/>
          <w:color w:val="000000"/>
          <w:szCs w:val="27"/>
          <w:lang w:val="en-CA"/>
        </w:rPr>
        <w:t xml:space="preserve">[the defendant] </w:t>
      </w:r>
      <w:r w:rsidRPr="00907717">
        <w:rPr>
          <w:rFonts w:ascii="Arial" w:eastAsia="Times New Roman" w:hAnsi="Arial" w:cs="Arial"/>
          <w:i/>
          <w:color w:val="000000"/>
          <w:szCs w:val="27"/>
          <w:lang w:val="en-CA"/>
        </w:rPr>
        <w:t>Jacob Rice at trial and prior unsworn statements given by him and prior evidence given under oath. It is, of course, the evidence given at trial that I must assess, and those prior inconsistent statements go to the credibility of Mr. Jacob Rice. I find that Jacob Rice is an unreliable witness and that the inconsistencies and contradictions diminish such weight as his evidence might have had. I find that the events immediately preceding the accident are not clear in Jacob Rice’s mind because he was either asleep or inattentive as the truck proceeded across the oncoming lanes of traffic. There were no brake marks or any indication that evasive action was taken until the truck “hit the ditch”. I find that what Jacob Rice told ICBC in his statement taken on March 8, 2005, is likely what happened:</w:t>
      </w:r>
    </w:p>
    <w:p w:rsidR="00907717" w:rsidRPr="00907717" w:rsidRDefault="00907717" w:rsidP="00EC3719">
      <w:pPr>
        <w:shd w:val="clear" w:color="auto" w:fill="FFFFFF"/>
        <w:ind w:left="1080" w:right="720"/>
        <w:rPr>
          <w:rFonts w:ascii="Arial" w:eastAsia="Times New Roman" w:hAnsi="Arial" w:cs="Arial"/>
          <w:i/>
          <w:color w:val="000000"/>
          <w:sz w:val="20"/>
          <w:szCs w:val="22"/>
        </w:rPr>
      </w:pPr>
      <w:r w:rsidRPr="00907717">
        <w:rPr>
          <w:rFonts w:ascii="Arial" w:eastAsia="Times New Roman" w:hAnsi="Arial" w:cs="Arial"/>
          <w:i/>
          <w:color w:val="000000"/>
          <w:sz w:val="20"/>
          <w:szCs w:val="22"/>
          <w:lang w:val="en-CA"/>
        </w:rPr>
        <w:t>It was a pull to the left and then, I just hit the ditch and </w:t>
      </w:r>
      <w:r w:rsidRPr="00907717">
        <w:rPr>
          <w:rFonts w:ascii="Arial" w:eastAsia="Times New Roman" w:hAnsi="Arial" w:cs="Arial"/>
          <w:i/>
          <w:color w:val="000000"/>
          <w:sz w:val="20"/>
          <w:szCs w:val="22"/>
          <w:u w:val="single"/>
          <w:lang w:val="en-CA"/>
        </w:rPr>
        <w:t>as we hit the ditch, I tried pulling it to the right and it lost control and, and spinning and from there, it just lost control</w:t>
      </w:r>
      <w:r w:rsidRPr="00907717">
        <w:rPr>
          <w:rFonts w:ascii="Arial" w:eastAsia="Times New Roman" w:hAnsi="Arial" w:cs="Arial"/>
          <w:i/>
          <w:color w:val="000000"/>
          <w:sz w:val="20"/>
          <w:szCs w:val="22"/>
          <w:lang w:val="en-CA"/>
        </w:rPr>
        <w:t>.</w:t>
      </w:r>
    </w:p>
    <w:p w:rsidR="00907717" w:rsidRPr="00907717" w:rsidRDefault="00907717" w:rsidP="00907717">
      <w:pPr>
        <w:shd w:val="clear" w:color="auto" w:fill="FFFFFF"/>
        <w:spacing w:after="360"/>
        <w:ind w:left="720" w:right="720"/>
        <w:jc w:val="right"/>
        <w:rPr>
          <w:rFonts w:ascii="Arial" w:eastAsia="Times New Roman" w:hAnsi="Arial" w:cs="Arial"/>
          <w:i/>
          <w:color w:val="000000"/>
          <w:sz w:val="20"/>
          <w:szCs w:val="22"/>
        </w:rPr>
      </w:pPr>
      <w:r w:rsidRPr="00907717">
        <w:rPr>
          <w:rFonts w:ascii="Arial" w:eastAsia="Times New Roman" w:hAnsi="Arial" w:cs="Arial"/>
          <w:i/>
          <w:color w:val="000000"/>
          <w:sz w:val="20"/>
          <w:szCs w:val="22"/>
          <w:lang w:val="en-CA"/>
        </w:rPr>
        <w:t>(</w:t>
      </w:r>
      <w:r w:rsidRPr="00907717">
        <w:rPr>
          <w:rFonts w:ascii="Arial" w:eastAsia="Times New Roman" w:hAnsi="Arial" w:cs="Arial"/>
          <w:i/>
          <w:color w:val="000000"/>
          <w:sz w:val="20"/>
          <w:szCs w:val="22"/>
          <w:u w:val="single"/>
          <w:lang w:val="en-CA"/>
        </w:rPr>
        <w:t>Emphasis Added</w:t>
      </w:r>
      <w:r w:rsidRPr="00907717">
        <w:rPr>
          <w:rFonts w:ascii="Arial" w:eastAsia="Times New Roman" w:hAnsi="Arial" w:cs="Arial"/>
          <w:i/>
          <w:color w:val="000000"/>
          <w:sz w:val="20"/>
          <w:szCs w:val="22"/>
          <w:lang w:val="en-CA"/>
        </w:rPr>
        <w:t>)</w:t>
      </w:r>
    </w:p>
    <w:p w:rsidR="00907717" w:rsidRPr="00907717" w:rsidRDefault="00907717" w:rsidP="00907717">
      <w:pPr>
        <w:spacing w:after="200"/>
        <w:rPr>
          <w:rFonts w:ascii="Arial" w:hAnsi="Arial" w:cs="Arial"/>
        </w:rPr>
      </w:pPr>
      <w:r>
        <w:rPr>
          <w:rFonts w:ascii="Arial" w:hAnsi="Arial" w:cs="Arial"/>
        </w:rPr>
        <w:t>Example</w:t>
      </w:r>
      <w:r w:rsidR="005B4F21">
        <w:rPr>
          <w:rFonts w:ascii="Arial" w:hAnsi="Arial" w:cs="Arial"/>
        </w:rPr>
        <w:t>s</w:t>
      </w:r>
      <w:r>
        <w:rPr>
          <w:rFonts w:ascii="Arial" w:hAnsi="Arial" w:cs="Arial"/>
        </w:rPr>
        <w:t xml:space="preserve"> of cross-</w:t>
      </w:r>
      <w:r w:rsidR="00096C43">
        <w:rPr>
          <w:rFonts w:ascii="Arial" w:hAnsi="Arial" w:cs="Arial"/>
        </w:rPr>
        <w:t>examinations</w:t>
      </w:r>
      <w:r w:rsidR="002F17FD">
        <w:rPr>
          <w:rFonts w:ascii="Arial" w:hAnsi="Arial" w:cs="Arial"/>
        </w:rPr>
        <w:t>:</w:t>
      </w:r>
    </w:p>
    <w:p w:rsidR="009734EF" w:rsidRPr="00907717" w:rsidRDefault="00096C43" w:rsidP="009734EF">
      <w:pPr>
        <w:pStyle w:val="ListParagraph"/>
        <w:numPr>
          <w:ilvl w:val="0"/>
          <w:numId w:val="15"/>
        </w:numPr>
        <w:spacing w:after="200"/>
        <w:contextualSpacing w:val="0"/>
        <w:rPr>
          <w:rFonts w:ascii="Arial" w:hAnsi="Arial" w:cs="Arial"/>
        </w:rPr>
      </w:pPr>
      <w:r>
        <w:rPr>
          <w:rFonts w:ascii="Arial" w:hAnsi="Arial" w:cs="Arial"/>
        </w:rPr>
        <w:t xml:space="preserve">The defendant driver </w:t>
      </w:r>
      <w:r w:rsidR="009734EF">
        <w:rPr>
          <w:rFonts w:ascii="Arial" w:hAnsi="Arial" w:cs="Arial"/>
        </w:rPr>
        <w:t xml:space="preserve">Daljit Singh Dhillon, </w:t>
      </w:r>
      <w:proofErr w:type="spellStart"/>
      <w:r w:rsidR="009734EF">
        <w:rPr>
          <w:rFonts w:ascii="Arial" w:hAnsi="Arial" w:cs="Arial"/>
          <w:i/>
        </w:rPr>
        <w:t>Uy</w:t>
      </w:r>
      <w:proofErr w:type="spellEnd"/>
      <w:r w:rsidR="009734EF">
        <w:rPr>
          <w:rFonts w:ascii="Arial" w:hAnsi="Arial" w:cs="Arial"/>
          <w:i/>
        </w:rPr>
        <w:t xml:space="preserve"> v. Dhillon, </w:t>
      </w:r>
      <w:r w:rsidR="009734EF">
        <w:rPr>
          <w:rFonts w:ascii="Arial" w:hAnsi="Arial" w:cs="Arial"/>
          <w:color w:val="000000"/>
        </w:rPr>
        <w:t>2019 BCSC 1136</w:t>
      </w:r>
    </w:p>
    <w:p w:rsidR="00907717" w:rsidRPr="002F17FD" w:rsidRDefault="005B4F21" w:rsidP="00907717">
      <w:pPr>
        <w:pStyle w:val="ListParagraph"/>
        <w:numPr>
          <w:ilvl w:val="0"/>
          <w:numId w:val="15"/>
        </w:numPr>
        <w:spacing w:after="200"/>
        <w:contextualSpacing w:val="0"/>
        <w:rPr>
          <w:rFonts w:ascii="Arial" w:hAnsi="Arial" w:cs="Arial"/>
        </w:rPr>
      </w:pPr>
      <w:r>
        <w:rPr>
          <w:rFonts w:ascii="Arial" w:hAnsi="Arial" w:cs="Arial"/>
        </w:rPr>
        <w:t xml:space="preserve">Archbishop Emeritus </w:t>
      </w:r>
      <w:proofErr w:type="spellStart"/>
      <w:r>
        <w:rPr>
          <w:rFonts w:ascii="Arial" w:hAnsi="Arial" w:cs="Arial"/>
        </w:rPr>
        <w:t>Exner</w:t>
      </w:r>
      <w:proofErr w:type="spellEnd"/>
      <w:r>
        <w:rPr>
          <w:rFonts w:ascii="Arial" w:hAnsi="Arial" w:cs="Arial"/>
        </w:rPr>
        <w:t xml:space="preserve"> in </w:t>
      </w:r>
      <w:r>
        <w:rPr>
          <w:rFonts w:ascii="Arial" w:hAnsi="Arial" w:cs="Arial"/>
          <w:i/>
        </w:rPr>
        <w:t xml:space="preserve">Anderson v. </w:t>
      </w:r>
      <w:proofErr w:type="spellStart"/>
      <w:r w:rsidRPr="009734EF">
        <w:rPr>
          <w:rFonts w:ascii="Arial" w:hAnsi="Arial" w:cs="Arial"/>
          <w:i/>
        </w:rPr>
        <w:t>Molon</w:t>
      </w:r>
      <w:proofErr w:type="spellEnd"/>
    </w:p>
    <w:p w:rsidR="00C2132A" w:rsidRPr="002F17FD" w:rsidRDefault="00F06EF4" w:rsidP="002F17FD">
      <w:pPr>
        <w:pStyle w:val="Default"/>
        <w:keepNext/>
        <w:keepLines/>
        <w:spacing w:before="360" w:after="360"/>
        <w:jc w:val="both"/>
        <w:rPr>
          <w:rFonts w:ascii="Arial" w:hAnsi="Arial" w:cs="Arial"/>
          <w:b/>
          <w:i/>
        </w:rPr>
      </w:pPr>
      <w:r w:rsidRPr="002F17FD">
        <w:rPr>
          <w:rFonts w:ascii="Arial" w:hAnsi="Arial" w:cs="Arial"/>
          <w:b/>
          <w:i/>
        </w:rPr>
        <w:t>Re-examination</w:t>
      </w:r>
    </w:p>
    <w:p w:rsidR="00C2132A" w:rsidRPr="004737DB" w:rsidRDefault="00C2132A" w:rsidP="00C2132A">
      <w:pPr>
        <w:spacing w:after="200"/>
        <w:rPr>
          <w:rFonts w:ascii="Arial" w:hAnsi="Arial" w:cs="Arial"/>
        </w:rPr>
      </w:pPr>
      <w:r w:rsidRPr="004737DB">
        <w:rPr>
          <w:rFonts w:ascii="Arial" w:hAnsi="Arial" w:cs="Arial"/>
        </w:rPr>
        <w:t>Re-examination = a witness can be re-examined by the counsel who called him or her but the scope of re-examination is limited to points that arose during cross-examination.</w:t>
      </w:r>
    </w:p>
    <w:p w:rsidR="00C2132A" w:rsidRPr="007005E3" w:rsidRDefault="00C2132A" w:rsidP="00C2132A">
      <w:pPr>
        <w:pStyle w:val="ListParagraph"/>
        <w:numPr>
          <w:ilvl w:val="0"/>
          <w:numId w:val="16"/>
        </w:numPr>
        <w:spacing w:after="200"/>
        <w:contextualSpacing w:val="0"/>
        <w:rPr>
          <w:rFonts w:ascii="Arial" w:hAnsi="Arial" w:cs="Arial"/>
        </w:rPr>
      </w:pPr>
      <w:r w:rsidRPr="007005E3">
        <w:rPr>
          <w:rFonts w:ascii="Arial" w:hAnsi="Arial" w:cs="Arial"/>
        </w:rPr>
        <w:t>Purpose – to refute or explain evidence brought out on cross.</w:t>
      </w:r>
    </w:p>
    <w:p w:rsidR="00C2132A" w:rsidRPr="007005E3" w:rsidRDefault="00C2132A" w:rsidP="00C2132A">
      <w:pPr>
        <w:pStyle w:val="ListParagraph"/>
        <w:numPr>
          <w:ilvl w:val="0"/>
          <w:numId w:val="16"/>
        </w:numPr>
        <w:spacing w:after="200"/>
        <w:contextualSpacing w:val="0"/>
        <w:rPr>
          <w:rFonts w:ascii="Arial" w:hAnsi="Arial" w:cs="Arial"/>
        </w:rPr>
      </w:pPr>
      <w:r w:rsidRPr="007005E3">
        <w:rPr>
          <w:rFonts w:ascii="Arial" w:hAnsi="Arial" w:cs="Arial"/>
        </w:rPr>
        <w:lastRenderedPageBreak/>
        <w:t>Very limited scope to prevent splitting of case by the plaintiff</w:t>
      </w:r>
    </w:p>
    <w:p w:rsidR="00C2132A" w:rsidRPr="007005E3" w:rsidRDefault="00C2132A" w:rsidP="00C2132A">
      <w:pPr>
        <w:pStyle w:val="ListParagraph"/>
        <w:numPr>
          <w:ilvl w:val="0"/>
          <w:numId w:val="16"/>
        </w:numPr>
        <w:spacing w:after="200"/>
        <w:contextualSpacing w:val="0"/>
        <w:rPr>
          <w:rFonts w:ascii="Arial" w:hAnsi="Arial" w:cs="Arial"/>
        </w:rPr>
      </w:pPr>
      <w:r w:rsidRPr="007005E3">
        <w:rPr>
          <w:rFonts w:ascii="Arial" w:hAnsi="Arial" w:cs="Arial"/>
        </w:rPr>
        <w:t>Often do not have time to consult with the witness and have to make a snap decision.  Can ask the Court for leave to consult but won’t necessarily be given.</w:t>
      </w:r>
    </w:p>
    <w:p w:rsidR="00C2132A" w:rsidRPr="007005E3" w:rsidRDefault="00C2132A" w:rsidP="00C2132A">
      <w:pPr>
        <w:pStyle w:val="ListParagraph"/>
        <w:numPr>
          <w:ilvl w:val="0"/>
          <w:numId w:val="16"/>
        </w:numPr>
        <w:spacing w:after="200"/>
        <w:contextualSpacing w:val="0"/>
        <w:rPr>
          <w:rFonts w:ascii="Arial" w:hAnsi="Arial" w:cs="Arial"/>
        </w:rPr>
      </w:pPr>
      <w:r w:rsidRPr="007005E3">
        <w:rPr>
          <w:rFonts w:ascii="Arial" w:hAnsi="Arial" w:cs="Arial"/>
        </w:rPr>
        <w:t>Keep a list of areas you might want to re-examine on then assess how important they are to your case.</w:t>
      </w:r>
    </w:p>
    <w:p w:rsidR="00C2132A" w:rsidRPr="007005E3" w:rsidRDefault="00C2132A" w:rsidP="00C2132A">
      <w:pPr>
        <w:pStyle w:val="ListParagraph"/>
        <w:numPr>
          <w:ilvl w:val="0"/>
          <w:numId w:val="16"/>
        </w:numPr>
        <w:spacing w:after="200"/>
        <w:contextualSpacing w:val="0"/>
        <w:rPr>
          <w:rFonts w:ascii="Arial" w:hAnsi="Arial" w:cs="Arial"/>
        </w:rPr>
      </w:pPr>
      <w:r w:rsidRPr="007005E3">
        <w:rPr>
          <w:rFonts w:ascii="Arial" w:hAnsi="Arial" w:cs="Arial"/>
        </w:rPr>
        <w:t>If not important and not confident as to what witness will say, leave it alone.</w:t>
      </w:r>
    </w:p>
    <w:p w:rsidR="00C2132A" w:rsidRPr="007005E3" w:rsidRDefault="00C2132A" w:rsidP="00C2132A">
      <w:pPr>
        <w:pStyle w:val="Default"/>
        <w:numPr>
          <w:ilvl w:val="0"/>
          <w:numId w:val="16"/>
        </w:numPr>
        <w:spacing w:after="240"/>
        <w:jc w:val="both"/>
        <w:rPr>
          <w:rFonts w:ascii="Arial" w:hAnsi="Arial" w:cs="Arial"/>
          <w:color w:val="auto"/>
        </w:rPr>
      </w:pPr>
      <w:r w:rsidRPr="007005E3">
        <w:rPr>
          <w:rFonts w:ascii="Arial" w:hAnsi="Arial" w:cs="Arial"/>
          <w:color w:val="auto"/>
        </w:rPr>
        <w:t xml:space="preserve">Should be approached with caution: do not re-examine your witness if you do not have to.  </w:t>
      </w:r>
    </w:p>
    <w:p w:rsidR="00C2132A" w:rsidRPr="007005E3" w:rsidRDefault="00C2132A" w:rsidP="00C2132A">
      <w:pPr>
        <w:pStyle w:val="ListParagraph"/>
        <w:numPr>
          <w:ilvl w:val="0"/>
          <w:numId w:val="16"/>
        </w:numPr>
        <w:spacing w:after="200"/>
        <w:contextualSpacing w:val="0"/>
        <w:rPr>
          <w:rFonts w:ascii="Arial" w:hAnsi="Arial" w:cs="Arial"/>
        </w:rPr>
      </w:pPr>
      <w:r w:rsidRPr="007005E3">
        <w:rPr>
          <w:rFonts w:ascii="Arial" w:hAnsi="Arial" w:cs="Arial"/>
        </w:rPr>
        <w:t xml:space="preserve">Dangerous if you don’t know what they will say.  </w:t>
      </w:r>
    </w:p>
    <w:p w:rsidR="00C2132A" w:rsidRPr="002F17FD" w:rsidRDefault="00C2132A" w:rsidP="002F17FD">
      <w:pPr>
        <w:pStyle w:val="Default"/>
        <w:numPr>
          <w:ilvl w:val="0"/>
          <w:numId w:val="2"/>
        </w:numPr>
        <w:spacing w:before="240"/>
        <w:jc w:val="both"/>
        <w:rPr>
          <w:rFonts w:ascii="Arial" w:hAnsi="Arial" w:cs="Arial"/>
          <w:color w:val="auto"/>
          <w:sz w:val="22"/>
          <w:szCs w:val="22"/>
        </w:rPr>
      </w:pPr>
      <w:proofErr w:type="spellStart"/>
      <w:r w:rsidRPr="004A0365">
        <w:rPr>
          <w:rFonts w:ascii="Arial" w:hAnsi="Arial" w:cs="Arial"/>
        </w:rPr>
        <w:t>Sopinka</w:t>
      </w:r>
      <w:proofErr w:type="spellEnd"/>
      <w:r w:rsidRPr="004A0365">
        <w:rPr>
          <w:rFonts w:ascii="Arial" w:hAnsi="Arial" w:cs="Arial"/>
        </w:rPr>
        <w:t xml:space="preserve"> et al.</w:t>
      </w:r>
      <w:r>
        <w:rPr>
          <w:rFonts w:ascii="Arial" w:hAnsi="Arial" w:cs="Arial"/>
        </w:rPr>
        <w:t xml:space="preserve">, </w:t>
      </w:r>
      <w:r>
        <w:rPr>
          <w:rFonts w:ascii="Arial" w:hAnsi="Arial" w:cs="Arial"/>
          <w:i/>
        </w:rPr>
        <w:t>The Law of Evidence in Canada</w:t>
      </w:r>
      <w:r w:rsidRPr="004A0365">
        <w:rPr>
          <w:rFonts w:ascii="Arial" w:hAnsi="Arial" w:cs="Arial"/>
        </w:rPr>
        <w:t xml:space="preserve">: </w:t>
      </w:r>
      <w:r>
        <w:rPr>
          <w:rFonts w:ascii="Arial" w:hAnsi="Arial" w:cs="Arial"/>
        </w:rPr>
        <w:t>“</w:t>
      </w:r>
      <w:r w:rsidRPr="004A0365">
        <w:rPr>
          <w:rFonts w:ascii="Arial" w:hAnsi="Arial" w:cs="Arial"/>
        </w:rPr>
        <w:t>The purpose of re-examination is to enable the witness to explain and clarify relevant testimony which may have been weakened or obscured in cross-examination.</w:t>
      </w:r>
      <w:r>
        <w:rPr>
          <w:rFonts w:ascii="Arial" w:hAnsi="Arial" w:cs="Arial"/>
        </w:rPr>
        <w:t>”</w:t>
      </w:r>
    </w:p>
    <w:p w:rsidR="00C2132A" w:rsidRPr="002F17FD" w:rsidRDefault="00C2132A" w:rsidP="002F17FD">
      <w:pPr>
        <w:pStyle w:val="Default"/>
        <w:keepNext/>
        <w:keepLines/>
        <w:spacing w:before="360" w:after="360"/>
        <w:jc w:val="both"/>
        <w:rPr>
          <w:rFonts w:ascii="Arial" w:hAnsi="Arial" w:cs="Arial"/>
          <w:b/>
          <w:i/>
        </w:rPr>
      </w:pPr>
      <w:r w:rsidRPr="002F17FD">
        <w:rPr>
          <w:rFonts w:ascii="Arial" w:hAnsi="Arial" w:cs="Arial"/>
          <w:b/>
          <w:i/>
        </w:rPr>
        <w:t>Objections at trial</w:t>
      </w:r>
    </w:p>
    <w:p w:rsidR="00C2132A" w:rsidRPr="00EA4822" w:rsidRDefault="00C2132A" w:rsidP="00C2132A">
      <w:pPr>
        <w:pStyle w:val="NormalWeb"/>
        <w:numPr>
          <w:ilvl w:val="0"/>
          <w:numId w:val="22"/>
        </w:numPr>
        <w:shd w:val="clear" w:color="auto" w:fill="FFFFFF"/>
        <w:spacing w:before="0" w:beforeAutospacing="0" w:after="150" w:afterAutospacing="0"/>
        <w:rPr>
          <w:rFonts w:ascii="Arial" w:hAnsi="Arial" w:cs="Arial"/>
          <w:color w:val="000000"/>
          <w:szCs w:val="20"/>
        </w:rPr>
      </w:pPr>
      <w:r w:rsidRPr="00EA4822">
        <w:rPr>
          <w:rFonts w:ascii="Arial" w:hAnsi="Arial" w:cs="Arial"/>
          <w:color w:val="000000"/>
          <w:szCs w:val="20"/>
        </w:rPr>
        <w:t>The most obvious purpose of objection is the exclusion of improper evidence. Another reason is to prevent an improper manner of questioning.</w:t>
      </w:r>
    </w:p>
    <w:p w:rsidR="00C2132A" w:rsidRPr="00EA4822" w:rsidRDefault="00C2132A" w:rsidP="00C2132A">
      <w:pPr>
        <w:pStyle w:val="NormalWeb"/>
        <w:numPr>
          <w:ilvl w:val="0"/>
          <w:numId w:val="22"/>
        </w:numPr>
        <w:shd w:val="clear" w:color="auto" w:fill="FFFFFF"/>
        <w:spacing w:before="0" w:beforeAutospacing="0" w:after="150" w:afterAutospacing="0"/>
        <w:rPr>
          <w:rFonts w:ascii="Arial" w:hAnsi="Arial" w:cs="Arial"/>
          <w:color w:val="000000"/>
          <w:szCs w:val="20"/>
        </w:rPr>
      </w:pPr>
      <w:r w:rsidRPr="00EA4822">
        <w:rPr>
          <w:rFonts w:ascii="Arial" w:hAnsi="Arial" w:cs="Arial"/>
          <w:color w:val="000000"/>
          <w:szCs w:val="20"/>
        </w:rPr>
        <w:t xml:space="preserve">Some of the grounds for objecting </w:t>
      </w:r>
      <w:r>
        <w:rPr>
          <w:rFonts w:ascii="Arial" w:hAnsi="Arial" w:cs="Arial"/>
          <w:color w:val="000000"/>
          <w:szCs w:val="20"/>
        </w:rPr>
        <w:t xml:space="preserve">during direct or cross </w:t>
      </w:r>
      <w:r w:rsidRPr="00EA4822">
        <w:rPr>
          <w:rFonts w:ascii="Arial" w:hAnsi="Arial" w:cs="Arial"/>
          <w:color w:val="000000"/>
          <w:szCs w:val="20"/>
        </w:rPr>
        <w:t>are:</w:t>
      </w:r>
    </w:p>
    <w:p w:rsidR="00C2132A" w:rsidRPr="00EA4822" w:rsidRDefault="00C2132A" w:rsidP="00C2132A">
      <w:pPr>
        <w:pStyle w:val="NormalWeb"/>
        <w:shd w:val="clear" w:color="auto" w:fill="FFFFFF"/>
        <w:spacing w:before="0" w:beforeAutospacing="0" w:after="150" w:afterAutospacing="0"/>
        <w:ind w:left="360"/>
        <w:rPr>
          <w:rFonts w:ascii="Arial" w:hAnsi="Arial" w:cs="Arial"/>
          <w:color w:val="000000"/>
          <w:szCs w:val="20"/>
        </w:rPr>
      </w:pPr>
      <w:r w:rsidRPr="00EA4822">
        <w:rPr>
          <w:rFonts w:ascii="Arial" w:hAnsi="Arial" w:cs="Arial"/>
          <w:color w:val="000000"/>
          <w:szCs w:val="20"/>
        </w:rPr>
        <w:t>1) relevance</w:t>
      </w:r>
      <w:r w:rsidRPr="00EA4822">
        <w:rPr>
          <w:rFonts w:ascii="Arial" w:hAnsi="Arial" w:cs="Arial"/>
          <w:color w:val="000000"/>
          <w:szCs w:val="20"/>
        </w:rPr>
        <w:br/>
        <w:t>2) no foundation</w:t>
      </w:r>
      <w:r w:rsidRPr="00EA4822">
        <w:rPr>
          <w:rFonts w:ascii="Arial" w:hAnsi="Arial" w:cs="Arial"/>
          <w:color w:val="000000"/>
          <w:szCs w:val="20"/>
        </w:rPr>
        <w:br/>
        <w:t>3) hearsay</w:t>
      </w:r>
      <w:r w:rsidRPr="00EA4822">
        <w:rPr>
          <w:rFonts w:ascii="Arial" w:hAnsi="Arial" w:cs="Arial"/>
          <w:color w:val="000000"/>
          <w:szCs w:val="20"/>
        </w:rPr>
        <w:br/>
        <w:t>4) leading</w:t>
      </w:r>
      <w:r>
        <w:rPr>
          <w:rFonts w:ascii="Arial" w:hAnsi="Arial" w:cs="Arial"/>
          <w:color w:val="000000"/>
          <w:szCs w:val="20"/>
        </w:rPr>
        <w:t xml:space="preserve"> questions</w:t>
      </w:r>
      <w:r w:rsidRPr="00EA4822">
        <w:rPr>
          <w:rFonts w:ascii="Arial" w:hAnsi="Arial" w:cs="Arial"/>
          <w:color w:val="000000"/>
          <w:szCs w:val="20"/>
        </w:rPr>
        <w:br/>
        <w:t>5) opinions and conclusions</w:t>
      </w:r>
      <w:r w:rsidRPr="00EA4822">
        <w:rPr>
          <w:rFonts w:ascii="Arial" w:hAnsi="Arial" w:cs="Arial"/>
          <w:color w:val="000000"/>
          <w:szCs w:val="20"/>
        </w:rPr>
        <w:br/>
        <w:t>6) repetitive (asked and answered)</w:t>
      </w:r>
      <w:r w:rsidRPr="00EA4822">
        <w:rPr>
          <w:rFonts w:ascii="Arial" w:hAnsi="Arial" w:cs="Arial"/>
          <w:color w:val="000000"/>
          <w:szCs w:val="20"/>
        </w:rPr>
        <w:br/>
        <w:t>7) assuming facts not in evidence</w:t>
      </w:r>
      <w:r w:rsidRPr="00EA4822">
        <w:rPr>
          <w:rFonts w:ascii="Arial" w:hAnsi="Arial" w:cs="Arial"/>
          <w:color w:val="000000"/>
          <w:szCs w:val="20"/>
        </w:rPr>
        <w:br/>
        <w:t>8) misstating evidence/misquoting witnesses</w:t>
      </w:r>
      <w:r w:rsidRPr="00EA4822">
        <w:rPr>
          <w:rFonts w:ascii="Arial" w:hAnsi="Arial" w:cs="Arial"/>
          <w:color w:val="000000"/>
          <w:szCs w:val="20"/>
        </w:rPr>
        <w:br/>
        <w:t>9) speculative</w:t>
      </w:r>
      <w:r w:rsidRPr="00EA4822">
        <w:rPr>
          <w:rFonts w:ascii="Arial" w:hAnsi="Arial" w:cs="Arial"/>
          <w:color w:val="000000"/>
          <w:szCs w:val="20"/>
        </w:rPr>
        <w:br/>
        <w:t>10) argumentative</w:t>
      </w:r>
      <w:r w:rsidRPr="00EA4822">
        <w:rPr>
          <w:rFonts w:ascii="Arial" w:hAnsi="Arial" w:cs="Arial"/>
          <w:color w:val="000000"/>
          <w:szCs w:val="20"/>
        </w:rPr>
        <w:br/>
        <w:t>11) improper impeachment or attack on character.</w:t>
      </w:r>
    </w:p>
    <w:p w:rsidR="00C2132A" w:rsidRPr="00EA4822" w:rsidRDefault="00C2132A" w:rsidP="00C2132A">
      <w:pPr>
        <w:pStyle w:val="NormalWeb"/>
        <w:numPr>
          <w:ilvl w:val="0"/>
          <w:numId w:val="22"/>
        </w:numPr>
        <w:shd w:val="clear" w:color="auto" w:fill="FFFFFF"/>
        <w:spacing w:before="0" w:beforeAutospacing="0" w:after="150" w:afterAutospacing="0"/>
        <w:rPr>
          <w:rFonts w:ascii="Arial" w:hAnsi="Arial" w:cs="Arial"/>
          <w:color w:val="000000"/>
          <w:szCs w:val="20"/>
        </w:rPr>
      </w:pPr>
      <w:r w:rsidRPr="00EA4822">
        <w:rPr>
          <w:rFonts w:ascii="Arial" w:hAnsi="Arial" w:cs="Arial"/>
          <w:color w:val="000000"/>
          <w:szCs w:val="20"/>
        </w:rPr>
        <w:t xml:space="preserve">Making proper and timely objections is </w:t>
      </w:r>
      <w:r>
        <w:rPr>
          <w:rFonts w:ascii="Arial" w:hAnsi="Arial" w:cs="Arial"/>
          <w:color w:val="000000"/>
          <w:szCs w:val="20"/>
        </w:rPr>
        <w:t xml:space="preserve">challenging </w:t>
      </w:r>
    </w:p>
    <w:p w:rsidR="00C2132A" w:rsidRPr="00EA4822" w:rsidRDefault="00C2132A" w:rsidP="00C2132A">
      <w:pPr>
        <w:pStyle w:val="NormalWeb"/>
        <w:numPr>
          <w:ilvl w:val="0"/>
          <w:numId w:val="22"/>
        </w:numPr>
        <w:shd w:val="clear" w:color="auto" w:fill="FFFFFF"/>
        <w:spacing w:before="0" w:beforeAutospacing="0" w:after="150" w:afterAutospacing="0"/>
        <w:rPr>
          <w:rFonts w:ascii="Arial" w:hAnsi="Arial" w:cs="Arial"/>
          <w:color w:val="000000"/>
          <w:szCs w:val="20"/>
        </w:rPr>
      </w:pPr>
      <w:r w:rsidRPr="00EA4822">
        <w:rPr>
          <w:rFonts w:ascii="Arial" w:hAnsi="Arial" w:cs="Arial"/>
          <w:color w:val="000000"/>
          <w:szCs w:val="20"/>
        </w:rPr>
        <w:t>Objections must be timely and have a legal basis.</w:t>
      </w:r>
    </w:p>
    <w:p w:rsidR="00C2132A" w:rsidRDefault="00C2132A" w:rsidP="00C2132A">
      <w:pPr>
        <w:pStyle w:val="NormalWeb"/>
        <w:numPr>
          <w:ilvl w:val="0"/>
          <w:numId w:val="22"/>
        </w:numPr>
        <w:shd w:val="clear" w:color="auto" w:fill="FFFFFF"/>
        <w:spacing w:before="0" w:beforeAutospacing="0" w:after="150" w:afterAutospacing="0"/>
        <w:rPr>
          <w:rFonts w:ascii="Arial" w:hAnsi="Arial" w:cs="Arial"/>
          <w:color w:val="000000"/>
          <w:szCs w:val="20"/>
        </w:rPr>
      </w:pPr>
      <w:r>
        <w:rPr>
          <w:rFonts w:ascii="Arial" w:hAnsi="Arial" w:cs="Arial"/>
          <w:color w:val="000000"/>
          <w:szCs w:val="20"/>
        </w:rPr>
        <w:t>An</w:t>
      </w:r>
      <w:r w:rsidRPr="00EA4822">
        <w:rPr>
          <w:rFonts w:ascii="Arial" w:hAnsi="Arial" w:cs="Arial"/>
          <w:color w:val="000000"/>
          <w:szCs w:val="20"/>
        </w:rPr>
        <w:t xml:space="preserve"> effective objection or the failure to make an appropriate and timely objection can change the course</w:t>
      </w:r>
      <w:r>
        <w:rPr>
          <w:rFonts w:ascii="Arial" w:hAnsi="Arial" w:cs="Arial"/>
          <w:color w:val="000000"/>
          <w:szCs w:val="20"/>
        </w:rPr>
        <w:t xml:space="preserve"> or even the outcome of a trial (or an appeal)</w:t>
      </w:r>
    </w:p>
    <w:p w:rsidR="00ED01DA" w:rsidRPr="00EA4822" w:rsidRDefault="00ED01DA" w:rsidP="00C2132A">
      <w:pPr>
        <w:pStyle w:val="NormalWeb"/>
        <w:numPr>
          <w:ilvl w:val="0"/>
          <w:numId w:val="22"/>
        </w:numPr>
        <w:shd w:val="clear" w:color="auto" w:fill="FFFFFF"/>
        <w:spacing w:before="0" w:beforeAutospacing="0" w:after="150" w:afterAutospacing="0"/>
        <w:rPr>
          <w:rFonts w:ascii="Arial" w:hAnsi="Arial" w:cs="Arial"/>
          <w:color w:val="000000"/>
          <w:szCs w:val="20"/>
        </w:rPr>
      </w:pPr>
      <w:r>
        <w:rPr>
          <w:rFonts w:ascii="Arial" w:hAnsi="Arial" w:cs="Arial"/>
          <w:color w:val="000000"/>
          <w:szCs w:val="20"/>
        </w:rPr>
        <w:t xml:space="preserve">Stand up, make your objection </w:t>
      </w:r>
      <w:r>
        <w:rPr>
          <w:rFonts w:ascii="Arial" w:hAnsi="Arial" w:cs="Arial"/>
          <w:i/>
          <w:color w:val="000000"/>
          <w:szCs w:val="20"/>
        </w:rPr>
        <w:t>to the judge</w:t>
      </w:r>
      <w:r>
        <w:rPr>
          <w:rFonts w:ascii="Arial" w:hAnsi="Arial" w:cs="Arial"/>
          <w:color w:val="000000"/>
          <w:szCs w:val="20"/>
        </w:rPr>
        <w:t>, and state your basis for it.</w:t>
      </w:r>
    </w:p>
    <w:p w:rsidR="00D22644" w:rsidRDefault="00D22644" w:rsidP="002F17FD">
      <w:pPr>
        <w:pStyle w:val="Default"/>
        <w:spacing w:before="360" w:after="360"/>
        <w:jc w:val="both"/>
        <w:rPr>
          <w:rFonts w:ascii="Arial" w:hAnsi="Arial" w:cs="Arial"/>
          <w:b/>
          <w:i/>
          <w:color w:val="auto"/>
          <w:szCs w:val="22"/>
        </w:rPr>
      </w:pPr>
      <w:r>
        <w:rPr>
          <w:rFonts w:ascii="Arial" w:hAnsi="Arial" w:cs="Arial"/>
          <w:b/>
          <w:i/>
          <w:color w:val="auto"/>
          <w:szCs w:val="22"/>
        </w:rPr>
        <w:t>Credibility of witnesses at trial</w:t>
      </w:r>
    </w:p>
    <w:p w:rsidR="00D22644" w:rsidRPr="00D22644" w:rsidRDefault="00D22644" w:rsidP="00D22644">
      <w:pPr>
        <w:pStyle w:val="Default"/>
        <w:numPr>
          <w:ilvl w:val="0"/>
          <w:numId w:val="27"/>
        </w:numPr>
        <w:spacing w:before="360" w:after="360"/>
        <w:jc w:val="both"/>
        <w:rPr>
          <w:rFonts w:ascii="Arial" w:hAnsi="Arial" w:cs="Arial"/>
          <w:b/>
          <w:i/>
          <w:color w:val="auto"/>
          <w:szCs w:val="22"/>
        </w:rPr>
      </w:pPr>
      <w:r>
        <w:rPr>
          <w:rFonts w:ascii="Arial" w:hAnsi="Arial" w:cs="Arial"/>
          <w:b/>
          <w:i/>
          <w:color w:val="auto"/>
          <w:szCs w:val="22"/>
        </w:rPr>
        <w:t xml:space="preserve">See Bradshaw v. </w:t>
      </w:r>
      <w:proofErr w:type="spellStart"/>
      <w:r>
        <w:rPr>
          <w:rFonts w:ascii="Arial" w:hAnsi="Arial" w:cs="Arial"/>
          <w:b/>
          <w:i/>
          <w:color w:val="auto"/>
          <w:szCs w:val="22"/>
        </w:rPr>
        <w:t>Stenner</w:t>
      </w:r>
      <w:proofErr w:type="spellEnd"/>
      <w:r>
        <w:rPr>
          <w:rFonts w:ascii="Arial" w:hAnsi="Arial" w:cs="Arial"/>
          <w:b/>
          <w:i/>
          <w:color w:val="auto"/>
          <w:szCs w:val="22"/>
        </w:rPr>
        <w:t xml:space="preserve">, </w:t>
      </w:r>
      <w:r>
        <w:rPr>
          <w:rFonts w:ascii="Arial" w:hAnsi="Arial" w:cs="Arial"/>
          <w:b/>
          <w:color w:val="auto"/>
          <w:szCs w:val="22"/>
        </w:rPr>
        <w:t>2010 BCSC 1398:</w:t>
      </w:r>
    </w:p>
    <w:p w:rsidR="00D22644" w:rsidRPr="00D22644" w:rsidRDefault="00D22644" w:rsidP="00D22644">
      <w:pPr>
        <w:pStyle w:val="scjnumber"/>
        <w:ind w:left="720"/>
        <w:jc w:val="both"/>
        <w:rPr>
          <w:rFonts w:ascii="Arial" w:hAnsi="Arial" w:cs="Arial"/>
          <w:lang w:val="en"/>
        </w:rPr>
      </w:pPr>
      <w:r w:rsidRPr="00D22644">
        <w:rPr>
          <w:rFonts w:ascii="Arial" w:hAnsi="Arial" w:cs="Arial"/>
          <w:lang w:val="en"/>
        </w:rPr>
        <w:t>[</w:t>
      </w:r>
      <w:bookmarkStart w:id="2" w:name="par186"/>
      <w:r w:rsidRPr="00D22644">
        <w:rPr>
          <w:rFonts w:ascii="Arial" w:hAnsi="Arial" w:cs="Arial"/>
          <w:lang w:val="en"/>
        </w:rPr>
        <w:t>186</w:t>
      </w:r>
      <w:bookmarkEnd w:id="2"/>
      <w:r w:rsidRPr="00D22644">
        <w:rPr>
          <w:rFonts w:ascii="Arial" w:hAnsi="Arial" w:cs="Arial"/>
          <w:lang w:val="en"/>
        </w:rPr>
        <w:t>]</w:t>
      </w:r>
      <w:r w:rsidRPr="00D22644">
        <w:rPr>
          <w:rFonts w:ascii="Arial" w:hAnsi="Arial" w:cs="Arial"/>
          <w:sz w:val="14"/>
          <w:szCs w:val="14"/>
          <w:lang w:val="en"/>
        </w:rPr>
        <w:t xml:space="preserve">     </w:t>
      </w:r>
      <w:r w:rsidRPr="00D22644">
        <w:rPr>
          <w:rFonts w:ascii="Arial" w:hAnsi="Arial" w:cs="Arial"/>
          <w:lang w:val="en"/>
        </w:rPr>
        <w:t>Credibility involves an assessment of the trustworthiness of a witness’ testimony based upon the veracity or sincerity of a witness and the accuracy of the evidence that the witness provides (</w:t>
      </w:r>
      <w:r w:rsidRPr="00D22644">
        <w:rPr>
          <w:rFonts w:ascii="Arial" w:hAnsi="Arial" w:cs="Arial"/>
          <w:i/>
          <w:iCs/>
          <w:lang w:val="en"/>
        </w:rPr>
        <w:t xml:space="preserve">Raymond v. </w:t>
      </w:r>
      <w:proofErr w:type="spellStart"/>
      <w:r w:rsidRPr="00D22644">
        <w:rPr>
          <w:rFonts w:ascii="Arial" w:hAnsi="Arial" w:cs="Arial"/>
          <w:i/>
          <w:iCs/>
          <w:lang w:val="en"/>
        </w:rPr>
        <w:t>Bosanquet</w:t>
      </w:r>
      <w:proofErr w:type="spellEnd"/>
      <w:r w:rsidRPr="00D22644">
        <w:rPr>
          <w:rFonts w:ascii="Arial" w:hAnsi="Arial" w:cs="Arial"/>
          <w:i/>
          <w:iCs/>
          <w:lang w:val="en"/>
        </w:rPr>
        <w:t xml:space="preserve"> (Township) </w:t>
      </w:r>
      <w:r w:rsidRPr="00D22644">
        <w:rPr>
          <w:rFonts w:ascii="Arial" w:hAnsi="Arial" w:cs="Arial"/>
          <w:lang w:val="en"/>
        </w:rPr>
        <w:t xml:space="preserve">(1919), </w:t>
      </w:r>
      <w:hyperlink r:id="rId9" w:history="1">
        <w:r w:rsidRPr="00D22644">
          <w:rPr>
            <w:rStyle w:val="Hyperlink"/>
            <w:rFonts w:ascii="Arial" w:hAnsi="Arial" w:cs="Arial"/>
            <w:lang w:val="en"/>
          </w:rPr>
          <w:t xml:space="preserve">1919 </w:t>
        </w:r>
        <w:proofErr w:type="spellStart"/>
        <w:r w:rsidRPr="00D22644">
          <w:rPr>
            <w:rStyle w:val="Hyperlink"/>
            <w:rFonts w:ascii="Arial" w:hAnsi="Arial" w:cs="Arial"/>
            <w:lang w:val="en"/>
          </w:rPr>
          <w:t>CanLII</w:t>
        </w:r>
        <w:proofErr w:type="spellEnd"/>
        <w:r w:rsidRPr="00D22644">
          <w:rPr>
            <w:rStyle w:val="Hyperlink"/>
            <w:rFonts w:ascii="Arial" w:hAnsi="Arial" w:cs="Arial"/>
            <w:lang w:val="en"/>
          </w:rPr>
          <w:t xml:space="preserve"> 11 (SCC)</w:t>
        </w:r>
      </w:hyperlink>
      <w:r w:rsidRPr="00D22644">
        <w:rPr>
          <w:rFonts w:ascii="Arial" w:hAnsi="Arial" w:cs="Arial"/>
          <w:lang w:val="en"/>
        </w:rPr>
        <w:t xml:space="preserve">, 59 S.C.R. 452, 50 D.L.R. 560 (S.C.C.)). The art of assessment involves examination of various factors such as the ability and opportunity to observe events, the firmness of his memory, the ability to resist the influence of interest to modify his recollection, whether the witness’ evidence harmonizes with independent evidence that has been accepted, whether the witness changes his testimony during direct and cross-examination, whether the witness’ testimony seems unreasonable, impossible, or unlikely, whether a witness has a motive to lie, and the </w:t>
      </w:r>
      <w:proofErr w:type="spellStart"/>
      <w:r w:rsidRPr="00D22644">
        <w:rPr>
          <w:rFonts w:ascii="Arial" w:hAnsi="Arial" w:cs="Arial"/>
          <w:lang w:val="en"/>
        </w:rPr>
        <w:t>demeanour</w:t>
      </w:r>
      <w:proofErr w:type="spellEnd"/>
      <w:r w:rsidRPr="00D22644">
        <w:rPr>
          <w:rFonts w:ascii="Arial" w:hAnsi="Arial" w:cs="Arial"/>
          <w:lang w:val="en"/>
        </w:rPr>
        <w:t xml:space="preserve"> of a witness generally (</w:t>
      </w:r>
      <w:r w:rsidRPr="00D22644">
        <w:rPr>
          <w:rFonts w:ascii="Arial" w:hAnsi="Arial" w:cs="Arial"/>
          <w:i/>
          <w:iCs/>
          <w:lang w:val="en"/>
        </w:rPr>
        <w:t>Wallace v. Davis</w:t>
      </w:r>
      <w:r w:rsidRPr="00D22644">
        <w:rPr>
          <w:rFonts w:ascii="Arial" w:hAnsi="Arial" w:cs="Arial"/>
          <w:lang w:val="en"/>
        </w:rPr>
        <w:t>, [1926] 31 O.W.N. 202 (</w:t>
      </w:r>
      <w:proofErr w:type="spellStart"/>
      <w:r w:rsidRPr="00D22644">
        <w:rPr>
          <w:rFonts w:ascii="Arial" w:hAnsi="Arial" w:cs="Arial"/>
          <w:lang w:val="en"/>
        </w:rPr>
        <w:t>Ont.H.C</w:t>
      </w:r>
      <w:proofErr w:type="spellEnd"/>
      <w:r w:rsidRPr="00D22644">
        <w:rPr>
          <w:rFonts w:ascii="Arial" w:hAnsi="Arial" w:cs="Arial"/>
          <w:lang w:val="en"/>
        </w:rPr>
        <w:t xml:space="preserve">.); </w:t>
      </w:r>
      <w:proofErr w:type="spellStart"/>
      <w:r w:rsidRPr="00D22644">
        <w:rPr>
          <w:rFonts w:ascii="Arial" w:hAnsi="Arial" w:cs="Arial"/>
          <w:i/>
          <w:iCs/>
          <w:lang w:val="en"/>
        </w:rPr>
        <w:t>Faryna</w:t>
      </w:r>
      <w:proofErr w:type="spellEnd"/>
      <w:r w:rsidRPr="00D22644">
        <w:rPr>
          <w:rFonts w:ascii="Arial" w:hAnsi="Arial" w:cs="Arial"/>
          <w:i/>
          <w:iCs/>
          <w:lang w:val="en"/>
        </w:rPr>
        <w:t xml:space="preserve"> v. </w:t>
      </w:r>
      <w:proofErr w:type="spellStart"/>
      <w:r w:rsidRPr="00D22644">
        <w:rPr>
          <w:rFonts w:ascii="Arial" w:hAnsi="Arial" w:cs="Arial"/>
          <w:i/>
          <w:iCs/>
          <w:lang w:val="en"/>
        </w:rPr>
        <w:t>Chorny</w:t>
      </w:r>
      <w:proofErr w:type="spellEnd"/>
      <w:r w:rsidRPr="00D22644">
        <w:rPr>
          <w:rFonts w:ascii="Arial" w:hAnsi="Arial" w:cs="Arial"/>
          <w:lang w:val="en"/>
        </w:rPr>
        <w:t xml:space="preserve">, </w:t>
      </w:r>
      <w:hyperlink r:id="rId10" w:history="1">
        <w:r w:rsidRPr="00D22644">
          <w:rPr>
            <w:rStyle w:val="Hyperlink"/>
            <w:rFonts w:ascii="Arial" w:hAnsi="Arial" w:cs="Arial"/>
            <w:lang w:val="en"/>
          </w:rPr>
          <w:t xml:space="preserve">1951 </w:t>
        </w:r>
        <w:proofErr w:type="spellStart"/>
        <w:r w:rsidRPr="00D22644">
          <w:rPr>
            <w:rStyle w:val="Hyperlink"/>
            <w:rFonts w:ascii="Arial" w:hAnsi="Arial" w:cs="Arial"/>
            <w:lang w:val="en"/>
          </w:rPr>
          <w:t>CanLII</w:t>
        </w:r>
        <w:proofErr w:type="spellEnd"/>
        <w:r w:rsidRPr="00D22644">
          <w:rPr>
            <w:rStyle w:val="Hyperlink"/>
            <w:rFonts w:ascii="Arial" w:hAnsi="Arial" w:cs="Arial"/>
            <w:lang w:val="en"/>
          </w:rPr>
          <w:t xml:space="preserve"> 252 (BC CA)</w:t>
        </w:r>
      </w:hyperlink>
      <w:r w:rsidRPr="00D22644">
        <w:rPr>
          <w:rFonts w:ascii="Arial" w:hAnsi="Arial" w:cs="Arial"/>
          <w:lang w:val="en"/>
        </w:rPr>
        <w:t>, [1952] 2 D.L.R. 354 (B.C.C.A.) [</w:t>
      </w:r>
      <w:proofErr w:type="spellStart"/>
      <w:r w:rsidRPr="00D22644">
        <w:rPr>
          <w:rFonts w:ascii="Arial" w:hAnsi="Arial" w:cs="Arial"/>
          <w:i/>
          <w:iCs/>
          <w:lang w:val="en"/>
        </w:rPr>
        <w:t>Farnya</w:t>
      </w:r>
      <w:proofErr w:type="spellEnd"/>
      <w:r w:rsidRPr="00D22644">
        <w:rPr>
          <w:rFonts w:ascii="Arial" w:hAnsi="Arial" w:cs="Arial"/>
          <w:lang w:val="en"/>
        </w:rPr>
        <w:t xml:space="preserve">]; </w:t>
      </w:r>
      <w:r w:rsidRPr="00D22644">
        <w:rPr>
          <w:rFonts w:ascii="Arial" w:hAnsi="Arial" w:cs="Arial"/>
          <w:i/>
          <w:iCs/>
          <w:lang w:val="en"/>
        </w:rPr>
        <w:t>R. v. S.(R.D.),</w:t>
      </w:r>
      <w:r w:rsidRPr="00D22644">
        <w:rPr>
          <w:rFonts w:ascii="Arial" w:hAnsi="Arial" w:cs="Arial"/>
          <w:lang w:val="en"/>
        </w:rPr>
        <w:t xml:space="preserve"> </w:t>
      </w:r>
      <w:hyperlink r:id="rId11" w:history="1">
        <w:r w:rsidRPr="00D22644">
          <w:rPr>
            <w:rStyle w:val="Hyperlink"/>
            <w:rFonts w:ascii="Arial" w:hAnsi="Arial" w:cs="Arial"/>
            <w:lang w:val="en"/>
          </w:rPr>
          <w:t xml:space="preserve">1997 </w:t>
        </w:r>
        <w:proofErr w:type="spellStart"/>
        <w:r w:rsidRPr="00D22644">
          <w:rPr>
            <w:rStyle w:val="Hyperlink"/>
            <w:rFonts w:ascii="Arial" w:hAnsi="Arial" w:cs="Arial"/>
            <w:lang w:val="en"/>
          </w:rPr>
          <w:t>CanLII</w:t>
        </w:r>
        <w:proofErr w:type="spellEnd"/>
        <w:r w:rsidRPr="00D22644">
          <w:rPr>
            <w:rStyle w:val="Hyperlink"/>
            <w:rFonts w:ascii="Arial" w:hAnsi="Arial" w:cs="Arial"/>
            <w:lang w:val="en"/>
          </w:rPr>
          <w:t xml:space="preserve"> 324 (SCC)</w:t>
        </w:r>
      </w:hyperlink>
      <w:r w:rsidRPr="00D22644">
        <w:rPr>
          <w:rFonts w:ascii="Arial" w:hAnsi="Arial" w:cs="Arial"/>
          <w:lang w:val="en"/>
        </w:rPr>
        <w:t>, [1997] 3 S.C.R. 484 at para.128 (S.C.C.)). Ultimately, the validity of the evidence depends on whether the evidence is consistent with the probabilities affecting the case as a whole and shown to be in existence at the time (</w:t>
      </w:r>
      <w:proofErr w:type="spellStart"/>
      <w:r w:rsidRPr="00D22644">
        <w:rPr>
          <w:rFonts w:ascii="Arial" w:hAnsi="Arial" w:cs="Arial"/>
          <w:i/>
          <w:iCs/>
          <w:lang w:val="en"/>
        </w:rPr>
        <w:t>Farnya</w:t>
      </w:r>
      <w:proofErr w:type="spellEnd"/>
      <w:r w:rsidRPr="00D22644">
        <w:rPr>
          <w:rFonts w:ascii="Arial" w:hAnsi="Arial" w:cs="Arial"/>
          <w:i/>
          <w:iCs/>
          <w:lang w:val="en"/>
        </w:rPr>
        <w:t xml:space="preserve"> </w:t>
      </w:r>
      <w:r w:rsidRPr="00D22644">
        <w:rPr>
          <w:rFonts w:ascii="Arial" w:hAnsi="Arial" w:cs="Arial"/>
          <w:lang w:val="en"/>
        </w:rPr>
        <w:t xml:space="preserve">at para. </w:t>
      </w:r>
      <w:hyperlink r:id="rId12" w:anchor="par356" w:history="1">
        <w:r w:rsidRPr="00D22644">
          <w:rPr>
            <w:rStyle w:val="Hyperlink"/>
            <w:rFonts w:ascii="Arial" w:hAnsi="Arial" w:cs="Arial"/>
            <w:lang w:val="en"/>
          </w:rPr>
          <w:t>356</w:t>
        </w:r>
      </w:hyperlink>
      <w:r w:rsidRPr="00D22644">
        <w:rPr>
          <w:rFonts w:ascii="Arial" w:hAnsi="Arial" w:cs="Arial"/>
          <w:lang w:val="en"/>
        </w:rPr>
        <w:t>).</w:t>
      </w:r>
    </w:p>
    <w:p w:rsidR="00D22644" w:rsidRPr="00D22644" w:rsidRDefault="00D22644" w:rsidP="00D22644">
      <w:pPr>
        <w:pStyle w:val="scjnumber"/>
        <w:ind w:left="720"/>
        <w:jc w:val="both"/>
        <w:rPr>
          <w:rFonts w:ascii="Arial" w:hAnsi="Arial" w:cs="Arial"/>
          <w:lang w:val="en"/>
        </w:rPr>
      </w:pPr>
      <w:r w:rsidRPr="00D22644">
        <w:rPr>
          <w:rFonts w:ascii="Arial" w:hAnsi="Arial" w:cs="Arial"/>
          <w:lang w:val="en"/>
        </w:rPr>
        <w:t>[</w:t>
      </w:r>
      <w:bookmarkStart w:id="3" w:name="par187"/>
      <w:r w:rsidRPr="00D22644">
        <w:rPr>
          <w:rFonts w:ascii="Arial" w:hAnsi="Arial" w:cs="Arial"/>
          <w:lang w:val="en"/>
        </w:rPr>
        <w:t>187</w:t>
      </w:r>
      <w:bookmarkEnd w:id="3"/>
      <w:r w:rsidRPr="00D22644">
        <w:rPr>
          <w:rFonts w:ascii="Arial" w:hAnsi="Arial" w:cs="Arial"/>
          <w:lang w:val="en"/>
        </w:rPr>
        <w:t>]</w:t>
      </w:r>
      <w:r w:rsidRPr="00D22644">
        <w:rPr>
          <w:rFonts w:ascii="Arial" w:hAnsi="Arial" w:cs="Arial"/>
          <w:sz w:val="14"/>
          <w:szCs w:val="14"/>
          <w:lang w:val="en"/>
        </w:rPr>
        <w:t xml:space="preserve">     </w:t>
      </w:r>
      <w:r w:rsidRPr="00D22644">
        <w:rPr>
          <w:rFonts w:ascii="Arial" w:hAnsi="Arial" w:cs="Arial"/>
          <w:lang w:val="en"/>
        </w:rPr>
        <w:t>It has been suggested that a methodology to adopt is to first consider the testimony of a witness on a ‘</w:t>
      </w:r>
      <w:proofErr w:type="spellStart"/>
      <w:r w:rsidRPr="00D22644">
        <w:rPr>
          <w:rFonts w:ascii="Arial" w:hAnsi="Arial" w:cs="Arial"/>
          <w:lang w:val="en"/>
        </w:rPr>
        <w:t>stand alone</w:t>
      </w:r>
      <w:proofErr w:type="spellEnd"/>
      <w:r w:rsidRPr="00D22644">
        <w:rPr>
          <w:rFonts w:ascii="Arial" w:hAnsi="Arial" w:cs="Arial"/>
          <w:lang w:val="en"/>
        </w:rPr>
        <w:t>’ basis, followed by an analysis of whether the witness’ story is inherently believable. Then, if the witness testimony has survived relatively intact, the testimony should be evaluated based upon the consistency with other witnesses and with documentary evidence. The testimony of non-party, disinterested witnesses may provide a reliable yardstick for comparison. Finally, the court should determine which version of events is the most consistent with the “preponderance of probabilities which a practical and informed person would readily recognize as reasonable in that place and in those conditions” (</w:t>
      </w:r>
      <w:r w:rsidRPr="00D22644">
        <w:rPr>
          <w:rFonts w:ascii="Arial" w:hAnsi="Arial" w:cs="Arial"/>
          <w:i/>
          <w:iCs/>
          <w:lang w:val="en"/>
        </w:rPr>
        <w:t xml:space="preserve">Overseas Investments (1986) Ltd. v. Cornwall Developments Ltd. </w:t>
      </w:r>
      <w:r w:rsidRPr="00D22644">
        <w:rPr>
          <w:rFonts w:ascii="Arial" w:hAnsi="Arial" w:cs="Arial"/>
          <w:lang w:val="en"/>
        </w:rPr>
        <w:t xml:space="preserve">(1993), </w:t>
      </w:r>
      <w:hyperlink r:id="rId13" w:history="1">
        <w:r w:rsidRPr="00D22644">
          <w:rPr>
            <w:rStyle w:val="Hyperlink"/>
            <w:rFonts w:ascii="Arial" w:hAnsi="Arial" w:cs="Arial"/>
            <w:lang w:val="en"/>
          </w:rPr>
          <w:t xml:space="preserve">1993 </w:t>
        </w:r>
        <w:proofErr w:type="spellStart"/>
        <w:r w:rsidRPr="00D22644">
          <w:rPr>
            <w:rStyle w:val="Hyperlink"/>
            <w:rFonts w:ascii="Arial" w:hAnsi="Arial" w:cs="Arial"/>
            <w:lang w:val="en"/>
          </w:rPr>
          <w:t>CanLII</w:t>
        </w:r>
        <w:proofErr w:type="spellEnd"/>
        <w:r w:rsidRPr="00D22644">
          <w:rPr>
            <w:rStyle w:val="Hyperlink"/>
            <w:rFonts w:ascii="Arial" w:hAnsi="Arial" w:cs="Arial"/>
            <w:lang w:val="en"/>
          </w:rPr>
          <w:t xml:space="preserve"> 7140 (AB QB)</w:t>
        </w:r>
      </w:hyperlink>
      <w:r w:rsidRPr="00D22644">
        <w:rPr>
          <w:rFonts w:ascii="Arial" w:hAnsi="Arial" w:cs="Arial"/>
          <w:lang w:val="en"/>
        </w:rPr>
        <w:t xml:space="preserve">, 12 Alta. L.R. (3d) 298 at para. </w:t>
      </w:r>
      <w:hyperlink r:id="rId14" w:anchor="par13" w:history="1">
        <w:r w:rsidRPr="00D22644">
          <w:rPr>
            <w:rStyle w:val="Hyperlink"/>
            <w:rFonts w:ascii="Arial" w:hAnsi="Arial" w:cs="Arial"/>
            <w:lang w:val="en"/>
          </w:rPr>
          <w:t>13</w:t>
        </w:r>
      </w:hyperlink>
      <w:r w:rsidRPr="00D22644">
        <w:rPr>
          <w:rFonts w:ascii="Arial" w:hAnsi="Arial" w:cs="Arial"/>
          <w:lang w:val="en"/>
        </w:rPr>
        <w:t xml:space="preserve"> (Alta. Q.B.)). I have found this approach useful.</w:t>
      </w:r>
    </w:p>
    <w:p w:rsidR="002F17FD" w:rsidRPr="00D22644" w:rsidRDefault="002F17FD" w:rsidP="002F17FD">
      <w:pPr>
        <w:pStyle w:val="Default"/>
        <w:spacing w:before="360" w:after="360"/>
        <w:jc w:val="both"/>
        <w:rPr>
          <w:rFonts w:ascii="Arial" w:hAnsi="Arial" w:cs="Arial"/>
          <w:b/>
          <w:i/>
          <w:color w:val="auto"/>
          <w:szCs w:val="22"/>
        </w:rPr>
      </w:pPr>
      <w:r w:rsidRPr="00D22644">
        <w:rPr>
          <w:rFonts w:ascii="Arial" w:hAnsi="Arial" w:cs="Arial"/>
          <w:b/>
          <w:i/>
          <w:color w:val="auto"/>
          <w:szCs w:val="22"/>
        </w:rPr>
        <w:t xml:space="preserve">Other evidence that can be introduced at trial: </w:t>
      </w:r>
    </w:p>
    <w:p w:rsidR="002F17FD" w:rsidRPr="00F06EF4" w:rsidRDefault="002F17FD" w:rsidP="002F17FD">
      <w:pPr>
        <w:pStyle w:val="Default"/>
        <w:numPr>
          <w:ilvl w:val="0"/>
          <w:numId w:val="21"/>
        </w:numPr>
        <w:spacing w:after="240"/>
        <w:jc w:val="both"/>
        <w:rPr>
          <w:rFonts w:ascii="Arial" w:hAnsi="Arial" w:cs="Arial"/>
          <w:color w:val="auto"/>
          <w:szCs w:val="22"/>
        </w:rPr>
      </w:pPr>
      <w:r w:rsidRPr="00F06EF4">
        <w:rPr>
          <w:rFonts w:ascii="Arial" w:hAnsi="Arial" w:cs="Arial"/>
          <w:color w:val="auto"/>
          <w:szCs w:val="22"/>
        </w:rPr>
        <w:lastRenderedPageBreak/>
        <w:t>Read-ins from discovery transcripts</w:t>
      </w:r>
    </w:p>
    <w:p w:rsidR="002F17FD" w:rsidRDefault="002F17FD" w:rsidP="002F17FD">
      <w:pPr>
        <w:pStyle w:val="ListParagraph"/>
        <w:numPr>
          <w:ilvl w:val="1"/>
          <w:numId w:val="21"/>
        </w:numPr>
        <w:spacing w:after="200"/>
        <w:contextualSpacing w:val="0"/>
        <w:jc w:val="both"/>
        <w:rPr>
          <w:rFonts w:ascii="Arial" w:hAnsi="Arial" w:cs="Arial"/>
        </w:rPr>
      </w:pPr>
      <w:r>
        <w:rPr>
          <w:rFonts w:ascii="Arial" w:hAnsi="Arial" w:cs="Arial"/>
        </w:rPr>
        <w:t xml:space="preserve">If the defendant makes admissions at examination for discovery, the plaintiff can “read in” these admissions during the trial proper, and they will form part of the evidentiary record.  But be careful not to read-in evidence that is unhelpful to your case!  See </w:t>
      </w:r>
      <w:r>
        <w:rPr>
          <w:rFonts w:ascii="Arial" w:hAnsi="Arial" w:cs="Arial"/>
          <w:i/>
        </w:rPr>
        <w:t xml:space="preserve">Duncan v. </w:t>
      </w:r>
      <w:proofErr w:type="spellStart"/>
      <w:r>
        <w:rPr>
          <w:rFonts w:ascii="Arial" w:hAnsi="Arial" w:cs="Arial"/>
          <w:i/>
        </w:rPr>
        <w:t>Mazurek</w:t>
      </w:r>
      <w:proofErr w:type="spellEnd"/>
      <w:r>
        <w:rPr>
          <w:rFonts w:ascii="Arial" w:hAnsi="Arial" w:cs="Arial"/>
          <w:i/>
        </w:rPr>
        <w:t xml:space="preserve">, </w:t>
      </w:r>
      <w:r>
        <w:rPr>
          <w:rFonts w:ascii="Arial" w:hAnsi="Arial" w:cs="Arial"/>
          <w:color w:val="000000"/>
        </w:rPr>
        <w:t xml:space="preserve">2010 BCCA 344, at para. 30: </w:t>
      </w:r>
    </w:p>
    <w:p w:rsidR="002F17FD" w:rsidRPr="008E6982" w:rsidRDefault="002F17FD" w:rsidP="002F17FD">
      <w:pPr>
        <w:spacing w:after="200"/>
        <w:ind w:left="1440"/>
        <w:jc w:val="both"/>
        <w:rPr>
          <w:rFonts w:ascii="Arial" w:hAnsi="Arial" w:cs="Arial"/>
          <w:sz w:val="22"/>
        </w:rPr>
      </w:pPr>
      <w:r w:rsidRPr="008E6982">
        <w:rPr>
          <w:rStyle w:val="Emphasis"/>
          <w:rFonts w:ascii="Arial" w:hAnsi="Arial" w:cs="Arial"/>
          <w:szCs w:val="25"/>
          <w:shd w:val="clear" w:color="auto" w:fill="FFFFFF"/>
        </w:rPr>
        <w:t>[30] The defendant, relying on </w:t>
      </w:r>
      <w:proofErr w:type="spellStart"/>
      <w:r w:rsidRPr="008E6982">
        <w:rPr>
          <w:rStyle w:val="Emphasis"/>
          <w:rFonts w:ascii="Arial" w:hAnsi="Arial" w:cs="Arial"/>
          <w:szCs w:val="25"/>
          <w:shd w:val="clear" w:color="auto" w:fill="FFFFFF"/>
        </w:rPr>
        <w:t>Chetwynd</w:t>
      </w:r>
      <w:proofErr w:type="spellEnd"/>
      <w:r w:rsidRPr="008E6982">
        <w:rPr>
          <w:rStyle w:val="Emphasis"/>
          <w:rFonts w:ascii="Arial" w:hAnsi="Arial" w:cs="Arial"/>
          <w:szCs w:val="25"/>
          <w:shd w:val="clear" w:color="auto" w:fill="FFFFFF"/>
        </w:rPr>
        <w:t>-Palmer v. Spinnakers, [1993] B.C.J. No. 95 (S.C.) and </w:t>
      </w:r>
      <w:proofErr w:type="spellStart"/>
      <w:r w:rsidRPr="008E6982">
        <w:rPr>
          <w:rStyle w:val="Emphasis"/>
          <w:rFonts w:ascii="Arial" w:hAnsi="Arial" w:cs="Arial"/>
          <w:szCs w:val="25"/>
          <w:shd w:val="clear" w:color="auto" w:fill="FFFFFF"/>
        </w:rPr>
        <w:t>Tsatsos</w:t>
      </w:r>
      <w:proofErr w:type="spellEnd"/>
      <w:r w:rsidRPr="008E6982">
        <w:rPr>
          <w:rStyle w:val="Emphasis"/>
          <w:rFonts w:ascii="Arial" w:hAnsi="Arial" w:cs="Arial"/>
          <w:szCs w:val="25"/>
          <w:shd w:val="clear" w:color="auto" w:fill="FFFFFF"/>
        </w:rPr>
        <w:t xml:space="preserve"> v. Johnson (1970), 74 W.W.R. 315, says that by reading in that discovery the plaintiff adopted and approbated his evidence, and the trial judge is not entitled to reject it and choose a different version more </w:t>
      </w:r>
      <w:proofErr w:type="spellStart"/>
      <w:r w:rsidRPr="008E6982">
        <w:rPr>
          <w:rStyle w:val="Emphasis"/>
          <w:rFonts w:ascii="Arial" w:hAnsi="Arial" w:cs="Arial"/>
          <w:szCs w:val="25"/>
          <w:shd w:val="clear" w:color="auto" w:fill="FFFFFF"/>
        </w:rPr>
        <w:t>favourable</w:t>
      </w:r>
      <w:proofErr w:type="spellEnd"/>
      <w:r w:rsidRPr="008E6982">
        <w:rPr>
          <w:rStyle w:val="Emphasis"/>
          <w:rFonts w:ascii="Arial" w:hAnsi="Arial" w:cs="Arial"/>
          <w:szCs w:val="25"/>
          <w:shd w:val="clear" w:color="auto" w:fill="FFFFFF"/>
        </w:rPr>
        <w:t xml:space="preserve"> to the plaintiff. I am not convinced those cases go that far. While the plaintiff may be at some risk in reading in such evidence as part of her case, where there is contradictory evidence it is my view that the trial judge must retain discretion to weigh it all in reaching his findings</w:t>
      </w:r>
      <w:r>
        <w:rPr>
          <w:rStyle w:val="Emphasis"/>
          <w:rFonts w:ascii="Arial" w:hAnsi="Arial" w:cs="Arial"/>
          <w:szCs w:val="25"/>
          <w:shd w:val="clear" w:color="auto" w:fill="FFFFFF"/>
        </w:rPr>
        <w:t>.</w:t>
      </w:r>
    </w:p>
    <w:p w:rsidR="002F17FD" w:rsidRDefault="00C813BC" w:rsidP="00C813BC">
      <w:pPr>
        <w:pStyle w:val="Default"/>
        <w:numPr>
          <w:ilvl w:val="0"/>
          <w:numId w:val="21"/>
        </w:numPr>
        <w:spacing w:after="240"/>
        <w:jc w:val="both"/>
        <w:rPr>
          <w:rFonts w:ascii="Arial" w:hAnsi="Arial" w:cs="Arial"/>
        </w:rPr>
      </w:pPr>
      <w:r>
        <w:rPr>
          <w:rFonts w:ascii="Arial" w:hAnsi="Arial" w:cs="Arial"/>
        </w:rPr>
        <w:t>Defendants cannot ‘read in’ the plaintiff’s discovery evidence: instead, they can only impeach the witness with the discovery evidence.</w:t>
      </w:r>
    </w:p>
    <w:p w:rsidR="002F17FD" w:rsidRDefault="002F17FD" w:rsidP="00096C43">
      <w:pPr>
        <w:pStyle w:val="Default"/>
        <w:keepNext/>
        <w:keepLines/>
        <w:numPr>
          <w:ilvl w:val="1"/>
          <w:numId w:val="1"/>
        </w:numPr>
        <w:spacing w:before="360" w:after="360"/>
        <w:jc w:val="both"/>
        <w:rPr>
          <w:rFonts w:ascii="Arial" w:hAnsi="Arial" w:cs="Arial"/>
          <w:b/>
          <w:sz w:val="28"/>
        </w:rPr>
      </w:pPr>
      <w:r>
        <w:rPr>
          <w:rFonts w:ascii="Arial" w:hAnsi="Arial" w:cs="Arial"/>
          <w:b/>
          <w:sz w:val="28"/>
        </w:rPr>
        <w:t>Exhibits</w:t>
      </w:r>
    </w:p>
    <w:p w:rsidR="00096C43" w:rsidRPr="00096C43" w:rsidRDefault="00096C43" w:rsidP="00096C43">
      <w:pPr>
        <w:keepNext/>
        <w:keepLines/>
        <w:spacing w:after="240"/>
        <w:rPr>
          <w:rFonts w:ascii="Arial" w:hAnsi="Arial" w:cs="Arial"/>
          <w:b/>
        </w:rPr>
      </w:pPr>
      <w:r w:rsidRPr="00096C43">
        <w:rPr>
          <w:rFonts w:ascii="Arial" w:hAnsi="Arial" w:cs="Arial"/>
          <w:b/>
        </w:rPr>
        <w:t>Real evidence</w:t>
      </w:r>
    </w:p>
    <w:p w:rsidR="00096C43" w:rsidRPr="00096C43" w:rsidRDefault="00096C43" w:rsidP="00096C43">
      <w:pPr>
        <w:pStyle w:val="ListParagraph"/>
        <w:numPr>
          <w:ilvl w:val="0"/>
          <w:numId w:val="21"/>
        </w:numPr>
        <w:spacing w:after="200"/>
        <w:rPr>
          <w:rFonts w:ascii="Arial" w:hAnsi="Arial" w:cs="Arial"/>
        </w:rPr>
      </w:pPr>
      <w:r>
        <w:rPr>
          <w:rFonts w:ascii="Arial" w:hAnsi="Arial" w:cs="Arial"/>
        </w:rPr>
        <w:t xml:space="preserve">Real evidence can include clothing, a helmet, etc.  </w:t>
      </w:r>
      <w:r w:rsidR="007154A5">
        <w:rPr>
          <w:rFonts w:ascii="Arial" w:hAnsi="Arial" w:cs="Arial"/>
        </w:rPr>
        <w:t>Anything</w:t>
      </w:r>
      <w:r>
        <w:rPr>
          <w:rFonts w:ascii="Arial" w:hAnsi="Arial" w:cs="Arial"/>
        </w:rPr>
        <w:t xml:space="preserve"> tangible.  </w:t>
      </w:r>
    </w:p>
    <w:p w:rsidR="00096C43" w:rsidRPr="00096C43" w:rsidRDefault="00096C43" w:rsidP="00096C43">
      <w:pPr>
        <w:spacing w:after="200"/>
        <w:rPr>
          <w:rFonts w:ascii="Arial" w:hAnsi="Arial" w:cs="Arial"/>
          <w:b/>
        </w:rPr>
      </w:pPr>
      <w:r w:rsidRPr="00096C43">
        <w:rPr>
          <w:rFonts w:ascii="Arial" w:hAnsi="Arial" w:cs="Arial"/>
          <w:b/>
        </w:rPr>
        <w:t>Audio-visual evidence</w:t>
      </w:r>
    </w:p>
    <w:p w:rsidR="00D22644" w:rsidRDefault="00D22644" w:rsidP="00096C43">
      <w:pPr>
        <w:pStyle w:val="ListParagraph"/>
        <w:numPr>
          <w:ilvl w:val="0"/>
          <w:numId w:val="21"/>
        </w:numPr>
        <w:spacing w:after="240"/>
        <w:contextualSpacing w:val="0"/>
        <w:rPr>
          <w:rFonts w:ascii="Arial" w:hAnsi="Arial" w:cs="Arial"/>
        </w:rPr>
      </w:pPr>
      <w:r>
        <w:rPr>
          <w:rFonts w:ascii="Arial" w:hAnsi="Arial" w:cs="Arial"/>
        </w:rPr>
        <w:t>Notice of Demonstrative Evidence – 7 days before trial</w:t>
      </w:r>
    </w:p>
    <w:p w:rsidR="00096C43" w:rsidRPr="007154A5" w:rsidRDefault="00BB2940" w:rsidP="00096C43">
      <w:pPr>
        <w:pStyle w:val="ListParagraph"/>
        <w:numPr>
          <w:ilvl w:val="0"/>
          <w:numId w:val="21"/>
        </w:numPr>
        <w:spacing w:after="240"/>
        <w:contextualSpacing w:val="0"/>
        <w:rPr>
          <w:rFonts w:ascii="Arial" w:hAnsi="Arial" w:cs="Arial"/>
        </w:rPr>
      </w:pPr>
      <w:r>
        <w:rPr>
          <w:rFonts w:ascii="Arial" w:hAnsi="Arial" w:cs="Arial"/>
        </w:rPr>
        <w:t>Scene p</w:t>
      </w:r>
      <w:r w:rsidR="00096C43">
        <w:rPr>
          <w:rFonts w:ascii="Arial" w:hAnsi="Arial" w:cs="Arial"/>
        </w:rPr>
        <w:t>hotographs</w:t>
      </w:r>
      <w:r w:rsidR="007154A5">
        <w:rPr>
          <w:rFonts w:ascii="Arial" w:hAnsi="Arial" w:cs="Arial"/>
        </w:rPr>
        <w:t xml:space="preserve"> and video – </w:t>
      </w:r>
      <w:proofErr w:type="spellStart"/>
      <w:r w:rsidR="007154A5">
        <w:rPr>
          <w:rFonts w:ascii="Arial" w:hAnsi="Arial" w:cs="Arial"/>
          <w:i/>
        </w:rPr>
        <w:t>Uy</w:t>
      </w:r>
      <w:proofErr w:type="spellEnd"/>
      <w:r w:rsidR="007154A5">
        <w:rPr>
          <w:rFonts w:ascii="Arial" w:hAnsi="Arial" w:cs="Arial"/>
          <w:i/>
        </w:rPr>
        <w:t xml:space="preserve"> v. Dhillon</w:t>
      </w:r>
      <w:r w:rsidR="00652394">
        <w:rPr>
          <w:rFonts w:ascii="Arial" w:hAnsi="Arial" w:cs="Arial"/>
          <w:i/>
        </w:rPr>
        <w:t xml:space="preserve">, </w:t>
      </w:r>
      <w:r w:rsidR="00652394">
        <w:rPr>
          <w:rFonts w:ascii="Arial" w:hAnsi="Arial" w:cs="Arial"/>
        </w:rPr>
        <w:t>2019 BCSC 1136 (liability)</w:t>
      </w:r>
    </w:p>
    <w:p w:rsidR="00096C43" w:rsidRDefault="00096C43" w:rsidP="00096C43">
      <w:pPr>
        <w:pStyle w:val="ListParagraph"/>
        <w:numPr>
          <w:ilvl w:val="0"/>
          <w:numId w:val="21"/>
        </w:numPr>
        <w:spacing w:after="240"/>
        <w:contextualSpacing w:val="0"/>
        <w:rPr>
          <w:rFonts w:ascii="Arial" w:hAnsi="Arial" w:cs="Arial"/>
        </w:rPr>
      </w:pPr>
      <w:r>
        <w:rPr>
          <w:rFonts w:ascii="Arial" w:hAnsi="Arial" w:cs="Arial"/>
        </w:rPr>
        <w:t>Audio</w:t>
      </w:r>
      <w:r w:rsidR="007154A5">
        <w:rPr>
          <w:rFonts w:ascii="Arial" w:hAnsi="Arial" w:cs="Arial"/>
        </w:rPr>
        <w:t xml:space="preserve"> – 911 Audio, </w:t>
      </w:r>
      <w:r w:rsidR="007154A5">
        <w:rPr>
          <w:rFonts w:ascii="Arial" w:hAnsi="Arial" w:cs="Arial"/>
          <w:i/>
        </w:rPr>
        <w:t xml:space="preserve">Crawford v. </w:t>
      </w:r>
      <w:proofErr w:type="spellStart"/>
      <w:r w:rsidR="007154A5">
        <w:rPr>
          <w:rFonts w:ascii="Arial" w:hAnsi="Arial" w:cs="Arial"/>
          <w:i/>
        </w:rPr>
        <w:t>Nazif</w:t>
      </w:r>
      <w:proofErr w:type="spellEnd"/>
      <w:r w:rsidR="00034B91">
        <w:rPr>
          <w:rFonts w:ascii="Arial" w:hAnsi="Arial" w:cs="Arial"/>
          <w:i/>
        </w:rPr>
        <w:t xml:space="preserve">, </w:t>
      </w:r>
      <w:hyperlink r:id="rId15" w:history="1">
        <w:r w:rsidR="00034B91" w:rsidRPr="00034B91">
          <w:rPr>
            <w:rStyle w:val="Hyperlink"/>
            <w:rFonts w:ascii="Arial" w:hAnsi="Arial" w:cs="Arial"/>
          </w:rPr>
          <w:t>2019 BCSC 2337</w:t>
        </w:r>
      </w:hyperlink>
      <w:r w:rsidR="00034B91">
        <w:rPr>
          <w:rFonts w:ascii="Arial" w:hAnsi="Arial" w:cs="Arial"/>
          <w:i/>
        </w:rPr>
        <w:t xml:space="preserve"> </w:t>
      </w:r>
      <w:r w:rsidR="00034B91">
        <w:rPr>
          <w:rFonts w:ascii="Arial" w:hAnsi="Arial" w:cs="Arial"/>
        </w:rPr>
        <w:t>(admissibility of scene evidence, para. 44-62)</w:t>
      </w:r>
    </w:p>
    <w:p w:rsidR="007154A5" w:rsidRPr="007154A5" w:rsidRDefault="00096C43" w:rsidP="007154A5">
      <w:pPr>
        <w:pStyle w:val="ListParagraph"/>
        <w:numPr>
          <w:ilvl w:val="0"/>
          <w:numId w:val="21"/>
        </w:numPr>
        <w:spacing w:after="240"/>
        <w:contextualSpacing w:val="0"/>
        <w:rPr>
          <w:rFonts w:ascii="Arial" w:hAnsi="Arial" w:cs="Arial"/>
        </w:rPr>
      </w:pPr>
      <w:r>
        <w:rPr>
          <w:rFonts w:ascii="Arial" w:hAnsi="Arial" w:cs="Arial"/>
        </w:rPr>
        <w:t xml:space="preserve">Video – E.g. </w:t>
      </w:r>
      <w:r w:rsidR="007154A5">
        <w:rPr>
          <w:rFonts w:ascii="Arial" w:hAnsi="Arial" w:cs="Arial"/>
        </w:rPr>
        <w:t xml:space="preserve">day in the life:  </w:t>
      </w:r>
      <w:r w:rsidR="007154A5" w:rsidRPr="007154A5">
        <w:rPr>
          <w:rFonts w:ascii="Arial" w:hAnsi="Arial" w:cs="Arial"/>
          <w:i/>
        </w:rPr>
        <w:t xml:space="preserve">Xu v. </w:t>
      </w:r>
      <w:proofErr w:type="spellStart"/>
      <w:r w:rsidR="007154A5" w:rsidRPr="007154A5">
        <w:rPr>
          <w:rFonts w:ascii="Arial" w:hAnsi="Arial" w:cs="Arial"/>
          <w:i/>
        </w:rPr>
        <w:t>Balaski</w:t>
      </w:r>
      <w:proofErr w:type="spellEnd"/>
      <w:r w:rsidR="00652394">
        <w:rPr>
          <w:rFonts w:ascii="Arial" w:hAnsi="Arial" w:cs="Arial"/>
          <w:i/>
        </w:rPr>
        <w:t xml:space="preserve">, </w:t>
      </w:r>
      <w:r w:rsidR="00652394">
        <w:rPr>
          <w:rFonts w:ascii="Arial" w:hAnsi="Arial" w:cs="Arial"/>
        </w:rPr>
        <w:t>2020 BCSC 940</w:t>
      </w:r>
    </w:p>
    <w:p w:rsidR="002F17FD" w:rsidRPr="00096C43" w:rsidRDefault="002F17FD" w:rsidP="002F17FD">
      <w:pPr>
        <w:rPr>
          <w:rFonts w:ascii="Arial" w:hAnsi="Arial" w:cs="Arial"/>
          <w:b/>
          <w:szCs w:val="22"/>
        </w:rPr>
      </w:pPr>
      <w:r w:rsidRPr="00096C43">
        <w:rPr>
          <w:rFonts w:ascii="Arial" w:hAnsi="Arial" w:cs="Arial"/>
          <w:b/>
          <w:szCs w:val="22"/>
        </w:rPr>
        <w:t>Documentary Evidence</w:t>
      </w:r>
    </w:p>
    <w:p w:rsidR="002F17FD" w:rsidRPr="007005E3" w:rsidRDefault="002F17FD" w:rsidP="002F17FD">
      <w:pPr>
        <w:rPr>
          <w:rFonts w:ascii="Arial" w:hAnsi="Arial" w:cs="Arial"/>
          <w:b/>
          <w:sz w:val="22"/>
          <w:szCs w:val="22"/>
        </w:rPr>
      </w:pPr>
    </w:p>
    <w:p w:rsidR="00BB2940" w:rsidRDefault="00096C43" w:rsidP="00BB2940">
      <w:pPr>
        <w:pStyle w:val="Default"/>
        <w:numPr>
          <w:ilvl w:val="0"/>
          <w:numId w:val="13"/>
        </w:numPr>
        <w:spacing w:after="240"/>
        <w:jc w:val="both"/>
        <w:rPr>
          <w:rFonts w:ascii="Arial" w:hAnsi="Arial" w:cs="Arial"/>
          <w:color w:val="auto"/>
        </w:rPr>
      </w:pPr>
      <w:r>
        <w:rPr>
          <w:rFonts w:ascii="Arial" w:hAnsi="Arial" w:cs="Arial"/>
          <w:color w:val="auto"/>
        </w:rPr>
        <w:t>Common book</w:t>
      </w:r>
      <w:r w:rsidR="007154A5">
        <w:rPr>
          <w:rFonts w:ascii="Arial" w:hAnsi="Arial" w:cs="Arial"/>
          <w:color w:val="auto"/>
        </w:rPr>
        <w:t>s</w:t>
      </w:r>
      <w:r>
        <w:rPr>
          <w:rFonts w:ascii="Arial" w:hAnsi="Arial" w:cs="Arial"/>
          <w:color w:val="auto"/>
        </w:rPr>
        <w:t xml:space="preserve"> of documents and document agreements</w:t>
      </w:r>
    </w:p>
    <w:p w:rsidR="00BB2940" w:rsidRPr="00BB2940" w:rsidRDefault="00BB2940" w:rsidP="00BB2940">
      <w:pPr>
        <w:pStyle w:val="Default"/>
        <w:numPr>
          <w:ilvl w:val="1"/>
          <w:numId w:val="13"/>
        </w:numPr>
        <w:spacing w:after="240"/>
        <w:jc w:val="both"/>
        <w:rPr>
          <w:rFonts w:ascii="Arial" w:hAnsi="Arial" w:cs="Arial"/>
          <w:color w:val="auto"/>
        </w:rPr>
      </w:pPr>
      <w:r>
        <w:rPr>
          <w:rFonts w:ascii="Arial" w:hAnsi="Arial" w:cs="Arial"/>
          <w:color w:val="auto"/>
        </w:rPr>
        <w:t>Sample Document Agreement and Index</w:t>
      </w:r>
      <w:r w:rsidR="00034B91">
        <w:rPr>
          <w:rFonts w:ascii="Arial" w:hAnsi="Arial" w:cs="Arial"/>
          <w:color w:val="auto"/>
        </w:rPr>
        <w:t xml:space="preserve"> attached from </w:t>
      </w:r>
      <w:r w:rsidR="00034B91" w:rsidRPr="00034B91">
        <w:rPr>
          <w:rFonts w:ascii="Arial" w:hAnsi="Arial" w:cs="Arial"/>
          <w:i/>
          <w:color w:val="auto"/>
        </w:rPr>
        <w:t>T.S. v. Gough</w:t>
      </w:r>
    </w:p>
    <w:p w:rsidR="004B4011" w:rsidRDefault="004B4011" w:rsidP="00C813BC">
      <w:pPr>
        <w:pStyle w:val="Default"/>
        <w:numPr>
          <w:ilvl w:val="0"/>
          <w:numId w:val="13"/>
        </w:numPr>
        <w:spacing w:after="240"/>
        <w:jc w:val="both"/>
        <w:rPr>
          <w:rFonts w:ascii="Arial" w:hAnsi="Arial" w:cs="Arial"/>
          <w:color w:val="auto"/>
        </w:rPr>
      </w:pPr>
      <w:r>
        <w:rPr>
          <w:rFonts w:ascii="Arial" w:hAnsi="Arial" w:cs="Arial"/>
          <w:color w:val="auto"/>
        </w:rPr>
        <w:t>Business Records exception to hearsay rule</w:t>
      </w:r>
    </w:p>
    <w:p w:rsidR="004B4011" w:rsidRPr="004B4011" w:rsidRDefault="004B4011" w:rsidP="004B4011">
      <w:pPr>
        <w:pStyle w:val="Default"/>
        <w:numPr>
          <w:ilvl w:val="1"/>
          <w:numId w:val="13"/>
        </w:numPr>
        <w:spacing w:after="240"/>
        <w:jc w:val="both"/>
        <w:rPr>
          <w:rFonts w:ascii="Arial" w:hAnsi="Arial" w:cs="Arial"/>
          <w:color w:val="auto"/>
        </w:rPr>
      </w:pPr>
      <w:r w:rsidRPr="004B4011">
        <w:rPr>
          <w:rFonts w:ascii="Arial" w:hAnsi="Arial" w:cs="Arial"/>
          <w:color w:val="auto"/>
        </w:rPr>
        <w:t>Section 42 of the</w:t>
      </w:r>
      <w:r>
        <w:rPr>
          <w:rFonts w:ascii="Arial" w:hAnsi="Arial" w:cs="Arial"/>
          <w:i/>
          <w:color w:val="auto"/>
        </w:rPr>
        <w:t xml:space="preserve"> Evidence Act, </w:t>
      </w:r>
      <w:r>
        <w:rPr>
          <w:rFonts w:ascii="Arial" w:hAnsi="Arial" w:cs="Arial"/>
          <w:color w:val="auto"/>
        </w:rPr>
        <w:t>RSBC 1996, c. 124:</w:t>
      </w:r>
    </w:p>
    <w:p w:rsidR="004B4011" w:rsidRPr="004B4011" w:rsidRDefault="004B4011" w:rsidP="004B4011">
      <w:pPr>
        <w:spacing w:before="120" w:line="288" w:lineRule="atLeast"/>
        <w:ind w:left="1440" w:right="720"/>
        <w:outlineLvl w:val="3"/>
        <w:rPr>
          <w:rFonts w:ascii="Arial" w:eastAsia="Times New Roman" w:hAnsi="Arial" w:cs="Arial"/>
          <w:b/>
          <w:bCs/>
          <w:color w:val="000000"/>
          <w:sz w:val="22"/>
          <w:szCs w:val="22"/>
        </w:rPr>
      </w:pPr>
      <w:bookmarkStart w:id="4" w:name="section42"/>
      <w:bookmarkEnd w:id="4"/>
      <w:r w:rsidRPr="004B4011">
        <w:rPr>
          <w:rFonts w:ascii="Arial" w:eastAsia="Times New Roman" w:hAnsi="Arial" w:cs="Arial"/>
          <w:b/>
          <w:bCs/>
          <w:color w:val="000000"/>
          <w:sz w:val="22"/>
          <w:szCs w:val="22"/>
        </w:rPr>
        <w:t>Admissibility of business records</w:t>
      </w:r>
    </w:p>
    <w:p w:rsidR="004B4011" w:rsidRPr="004B4011" w:rsidRDefault="004B4011" w:rsidP="004B4011">
      <w:pPr>
        <w:spacing w:before="120" w:line="360" w:lineRule="atLeast"/>
        <w:ind w:left="1440" w:right="720"/>
        <w:rPr>
          <w:rFonts w:ascii="Arial" w:eastAsia="Times New Roman" w:hAnsi="Arial" w:cs="Arial"/>
          <w:color w:val="000000"/>
          <w:sz w:val="22"/>
          <w:szCs w:val="22"/>
        </w:rPr>
      </w:pPr>
      <w:r w:rsidRPr="004B4011">
        <w:rPr>
          <w:rFonts w:ascii="Arial" w:eastAsia="Times New Roman" w:hAnsi="Arial" w:cs="Arial"/>
          <w:b/>
          <w:bCs/>
          <w:color w:val="000000"/>
          <w:sz w:val="22"/>
          <w:szCs w:val="22"/>
        </w:rPr>
        <w:t>42</w:t>
      </w:r>
      <w:r w:rsidRPr="004B4011">
        <w:rPr>
          <w:rFonts w:ascii="Arial" w:eastAsia="Times New Roman" w:hAnsi="Arial" w:cs="Arial"/>
          <w:color w:val="000000"/>
          <w:sz w:val="22"/>
          <w:szCs w:val="22"/>
        </w:rPr>
        <w:t xml:space="preserve">   </w:t>
      </w:r>
      <w:bookmarkStart w:id="5" w:name="d2e2815"/>
      <w:bookmarkEnd w:id="5"/>
      <w:r w:rsidRPr="004B4011">
        <w:rPr>
          <w:rFonts w:ascii="Arial" w:eastAsia="Times New Roman" w:hAnsi="Arial" w:cs="Arial"/>
          <w:color w:val="000000"/>
          <w:sz w:val="22"/>
          <w:szCs w:val="22"/>
        </w:rPr>
        <w:t>(1) In this section:</w:t>
      </w:r>
    </w:p>
    <w:p w:rsidR="004B4011" w:rsidRPr="004B4011" w:rsidRDefault="004B4011" w:rsidP="004B4011">
      <w:pPr>
        <w:spacing w:before="120" w:after="168" w:line="360" w:lineRule="atLeast"/>
        <w:ind w:left="1440" w:right="720"/>
        <w:rPr>
          <w:rFonts w:ascii="Arial" w:eastAsia="Times New Roman" w:hAnsi="Arial" w:cs="Arial"/>
          <w:color w:val="000000"/>
          <w:sz w:val="22"/>
          <w:szCs w:val="22"/>
        </w:rPr>
      </w:pPr>
      <w:r w:rsidRPr="004B4011">
        <w:rPr>
          <w:rFonts w:ascii="Arial" w:eastAsia="Times New Roman" w:hAnsi="Arial" w:cs="Arial"/>
          <w:b/>
          <w:bCs/>
          <w:color w:val="000000"/>
          <w:sz w:val="22"/>
          <w:szCs w:val="22"/>
        </w:rPr>
        <w:t>"business"</w:t>
      </w:r>
      <w:r w:rsidRPr="004B4011">
        <w:rPr>
          <w:rFonts w:ascii="Arial" w:eastAsia="Times New Roman" w:hAnsi="Arial" w:cs="Arial"/>
          <w:color w:val="000000"/>
          <w:sz w:val="22"/>
          <w:szCs w:val="22"/>
        </w:rPr>
        <w:t xml:space="preserve"> includes every kind of business, profession, occupation, calling, operation or activity, whether carried on for profit or otherwise;</w:t>
      </w:r>
    </w:p>
    <w:p w:rsidR="004B4011" w:rsidRPr="004B4011" w:rsidRDefault="004B4011" w:rsidP="004B4011">
      <w:pPr>
        <w:spacing w:before="120" w:after="168" w:line="360" w:lineRule="atLeast"/>
        <w:ind w:left="1440" w:right="720"/>
        <w:rPr>
          <w:rFonts w:ascii="Arial" w:eastAsia="Times New Roman" w:hAnsi="Arial" w:cs="Arial"/>
          <w:color w:val="000000"/>
          <w:sz w:val="22"/>
          <w:szCs w:val="22"/>
        </w:rPr>
      </w:pPr>
      <w:r w:rsidRPr="004B4011">
        <w:rPr>
          <w:rFonts w:ascii="Arial" w:eastAsia="Times New Roman" w:hAnsi="Arial" w:cs="Arial"/>
          <w:b/>
          <w:bCs/>
          <w:color w:val="000000"/>
          <w:sz w:val="22"/>
          <w:szCs w:val="22"/>
        </w:rPr>
        <w:t>"document"</w:t>
      </w:r>
      <w:r w:rsidRPr="004B4011">
        <w:rPr>
          <w:rFonts w:ascii="Arial" w:eastAsia="Times New Roman" w:hAnsi="Arial" w:cs="Arial"/>
          <w:color w:val="000000"/>
          <w:sz w:val="22"/>
          <w:szCs w:val="22"/>
        </w:rPr>
        <w:t xml:space="preserve"> includes any device by means of which information is recorded or stored;</w:t>
      </w:r>
    </w:p>
    <w:p w:rsidR="004B4011" w:rsidRPr="004B4011" w:rsidRDefault="004B4011" w:rsidP="004B4011">
      <w:pPr>
        <w:spacing w:before="120" w:after="168" w:line="360" w:lineRule="atLeast"/>
        <w:ind w:left="1440" w:right="720"/>
        <w:rPr>
          <w:rFonts w:ascii="Arial" w:eastAsia="Times New Roman" w:hAnsi="Arial" w:cs="Arial"/>
          <w:color w:val="000000"/>
          <w:sz w:val="22"/>
          <w:szCs w:val="22"/>
        </w:rPr>
      </w:pPr>
      <w:r w:rsidRPr="004B4011">
        <w:rPr>
          <w:rFonts w:ascii="Arial" w:eastAsia="Times New Roman" w:hAnsi="Arial" w:cs="Arial"/>
          <w:b/>
          <w:bCs/>
          <w:color w:val="000000"/>
          <w:sz w:val="22"/>
          <w:szCs w:val="22"/>
        </w:rPr>
        <w:t>"statement"</w:t>
      </w:r>
      <w:r w:rsidRPr="004B4011">
        <w:rPr>
          <w:rFonts w:ascii="Arial" w:eastAsia="Times New Roman" w:hAnsi="Arial" w:cs="Arial"/>
          <w:color w:val="000000"/>
          <w:sz w:val="22"/>
          <w:szCs w:val="22"/>
        </w:rPr>
        <w:t xml:space="preserve"> includes any representation of fact, whether made in words or otherwise.</w:t>
      </w:r>
    </w:p>
    <w:p w:rsidR="004B4011" w:rsidRPr="004B4011" w:rsidRDefault="004B4011" w:rsidP="004B4011">
      <w:pPr>
        <w:spacing w:before="120" w:line="360" w:lineRule="atLeast"/>
        <w:ind w:left="1440" w:right="720"/>
        <w:rPr>
          <w:rFonts w:ascii="Arial" w:eastAsia="Times New Roman" w:hAnsi="Arial" w:cs="Arial"/>
          <w:color w:val="000000"/>
          <w:sz w:val="22"/>
          <w:szCs w:val="22"/>
        </w:rPr>
      </w:pPr>
      <w:bookmarkStart w:id="6" w:name="d2e2852"/>
      <w:bookmarkEnd w:id="6"/>
      <w:r w:rsidRPr="004B4011">
        <w:rPr>
          <w:rFonts w:ascii="Arial" w:eastAsia="Times New Roman" w:hAnsi="Arial" w:cs="Arial"/>
          <w:color w:val="000000"/>
          <w:sz w:val="22"/>
          <w:szCs w:val="22"/>
        </w:rPr>
        <w:t>(2) In proceedings in which direct oral evidence of a fact would be admissible, a statement of a fact in a document is admissible as evidence of the fact if</w:t>
      </w:r>
    </w:p>
    <w:p w:rsidR="004B4011" w:rsidRPr="004B4011" w:rsidRDefault="004B4011" w:rsidP="004B4011">
      <w:pPr>
        <w:spacing w:before="120" w:line="360" w:lineRule="atLeast"/>
        <w:ind w:left="2160" w:right="720"/>
        <w:rPr>
          <w:rFonts w:ascii="Arial" w:eastAsia="Times New Roman" w:hAnsi="Arial" w:cs="Arial"/>
          <w:color w:val="000000"/>
          <w:sz w:val="22"/>
          <w:szCs w:val="22"/>
        </w:rPr>
      </w:pPr>
      <w:bookmarkStart w:id="7" w:name="d2e2861"/>
      <w:bookmarkEnd w:id="7"/>
      <w:r w:rsidRPr="004B4011">
        <w:rPr>
          <w:rFonts w:ascii="Arial" w:eastAsia="Times New Roman" w:hAnsi="Arial" w:cs="Arial"/>
          <w:color w:val="000000"/>
          <w:sz w:val="22"/>
          <w:szCs w:val="22"/>
        </w:rPr>
        <w:t>(a) the document was made or kept in the usual and ordinary course of business, and</w:t>
      </w:r>
    </w:p>
    <w:p w:rsidR="004B4011" w:rsidRPr="004B4011" w:rsidRDefault="004B4011" w:rsidP="004B4011">
      <w:pPr>
        <w:spacing w:before="120" w:line="360" w:lineRule="atLeast"/>
        <w:ind w:left="2160" w:right="720"/>
        <w:rPr>
          <w:rFonts w:ascii="Arial" w:eastAsia="Times New Roman" w:hAnsi="Arial" w:cs="Arial"/>
          <w:color w:val="000000"/>
          <w:sz w:val="22"/>
          <w:szCs w:val="22"/>
        </w:rPr>
      </w:pPr>
      <w:bookmarkStart w:id="8" w:name="d2e2870"/>
      <w:bookmarkEnd w:id="8"/>
      <w:r w:rsidRPr="004B4011">
        <w:rPr>
          <w:rFonts w:ascii="Arial" w:eastAsia="Times New Roman" w:hAnsi="Arial" w:cs="Arial"/>
          <w:color w:val="000000"/>
          <w:sz w:val="22"/>
          <w:szCs w:val="22"/>
        </w:rPr>
        <w:t>(b) it was in the usual and ordinary course of the business to record in that document a statement of the fact at the time it occurred or within a reasonable time after that.</w:t>
      </w:r>
    </w:p>
    <w:p w:rsidR="004B4011" w:rsidRPr="004B4011" w:rsidRDefault="004B4011" w:rsidP="004B4011">
      <w:pPr>
        <w:spacing w:before="120" w:line="360" w:lineRule="atLeast"/>
        <w:ind w:left="1440" w:right="720"/>
        <w:rPr>
          <w:rFonts w:ascii="Arial" w:eastAsia="Times New Roman" w:hAnsi="Arial" w:cs="Arial"/>
          <w:color w:val="000000"/>
          <w:sz w:val="22"/>
          <w:szCs w:val="22"/>
        </w:rPr>
      </w:pPr>
      <w:bookmarkStart w:id="9" w:name="d2e2879"/>
      <w:bookmarkEnd w:id="9"/>
      <w:r w:rsidRPr="004B4011">
        <w:rPr>
          <w:rFonts w:ascii="Arial" w:eastAsia="Times New Roman" w:hAnsi="Arial" w:cs="Arial"/>
          <w:color w:val="000000"/>
          <w:sz w:val="22"/>
          <w:szCs w:val="22"/>
        </w:rPr>
        <w:t>(3) Subject to subsection (4), the circumstances of the making of the statement, including lack of personal knowledge by the person who made the statement, may be shown to affect the statement's weight but not its admissibility.</w:t>
      </w:r>
    </w:p>
    <w:p w:rsidR="004B4011" w:rsidRPr="004B4011" w:rsidRDefault="004B4011" w:rsidP="004B4011">
      <w:pPr>
        <w:spacing w:before="120" w:line="360" w:lineRule="atLeast"/>
        <w:ind w:left="1440" w:right="720"/>
        <w:rPr>
          <w:rFonts w:ascii="Arial" w:eastAsia="Times New Roman" w:hAnsi="Arial" w:cs="Arial"/>
          <w:color w:val="000000"/>
          <w:sz w:val="22"/>
          <w:szCs w:val="22"/>
        </w:rPr>
      </w:pPr>
      <w:bookmarkStart w:id="10" w:name="d2e2888"/>
      <w:bookmarkEnd w:id="10"/>
      <w:r w:rsidRPr="004B4011">
        <w:rPr>
          <w:rFonts w:ascii="Arial" w:eastAsia="Times New Roman" w:hAnsi="Arial" w:cs="Arial"/>
          <w:color w:val="000000"/>
          <w:sz w:val="22"/>
          <w:szCs w:val="22"/>
        </w:rPr>
        <w:t>(4) Nothing in this section makes admissible as evidence a statement made by a person interested at a time when proceedings were pending or anticipated involving a dispute as to a fact that the statement might tend to establish.</w:t>
      </w:r>
    </w:p>
    <w:p w:rsidR="004B4011" w:rsidRPr="004B4011" w:rsidRDefault="004B4011" w:rsidP="008E7D0E">
      <w:pPr>
        <w:spacing w:before="120" w:after="360" w:line="360" w:lineRule="atLeast"/>
        <w:ind w:left="1440" w:right="720"/>
        <w:rPr>
          <w:rFonts w:ascii="Arial" w:eastAsia="Times New Roman" w:hAnsi="Arial" w:cs="Arial"/>
          <w:color w:val="000000"/>
          <w:sz w:val="22"/>
          <w:szCs w:val="22"/>
        </w:rPr>
      </w:pPr>
      <w:bookmarkStart w:id="11" w:name="d2e2898"/>
      <w:bookmarkEnd w:id="11"/>
      <w:r w:rsidRPr="004B4011">
        <w:rPr>
          <w:rFonts w:ascii="Arial" w:eastAsia="Times New Roman" w:hAnsi="Arial" w:cs="Arial"/>
          <w:color w:val="000000"/>
          <w:sz w:val="22"/>
          <w:szCs w:val="22"/>
        </w:rPr>
        <w:t>(5) For the purpose of any rule of law or practice requiring evidence to be corroborated or regulating the manner in which uncorroborated evidence is to be treated, a statement rendered admissible by this section must not be treated as corroboration of evidence given by the maker of the statement.</w:t>
      </w:r>
    </w:p>
    <w:p w:rsidR="00F5371A" w:rsidRDefault="00F5371A" w:rsidP="00C813BC">
      <w:pPr>
        <w:pStyle w:val="Default"/>
        <w:numPr>
          <w:ilvl w:val="0"/>
          <w:numId w:val="13"/>
        </w:numPr>
        <w:spacing w:after="240"/>
        <w:jc w:val="both"/>
        <w:rPr>
          <w:rFonts w:ascii="Arial" w:hAnsi="Arial" w:cs="Arial"/>
          <w:color w:val="auto"/>
        </w:rPr>
      </w:pPr>
      <w:r>
        <w:rPr>
          <w:rFonts w:ascii="Arial" w:hAnsi="Arial" w:cs="Arial"/>
          <w:color w:val="auto"/>
        </w:rPr>
        <w:t>Do not put in documents ‘</w:t>
      </w:r>
      <w:proofErr w:type="spellStart"/>
      <w:r>
        <w:rPr>
          <w:rFonts w:ascii="Arial" w:hAnsi="Arial" w:cs="Arial"/>
          <w:color w:val="auto"/>
        </w:rPr>
        <w:t>en</w:t>
      </w:r>
      <w:proofErr w:type="spellEnd"/>
      <w:r>
        <w:rPr>
          <w:rFonts w:ascii="Arial" w:hAnsi="Arial" w:cs="Arial"/>
          <w:color w:val="auto"/>
        </w:rPr>
        <w:t xml:space="preserve"> masse’</w:t>
      </w:r>
      <w:r w:rsidR="00BB2940">
        <w:rPr>
          <w:rFonts w:ascii="Arial" w:hAnsi="Arial" w:cs="Arial"/>
          <w:color w:val="auto"/>
        </w:rPr>
        <w:t xml:space="preserve"> in one big binder</w:t>
      </w:r>
    </w:p>
    <w:p w:rsidR="007154A5" w:rsidRPr="00F5371A" w:rsidRDefault="007154A5" w:rsidP="00F5371A">
      <w:pPr>
        <w:pStyle w:val="Default"/>
        <w:spacing w:after="240"/>
        <w:ind w:left="413" w:firstLine="720"/>
        <w:jc w:val="both"/>
        <w:rPr>
          <w:rFonts w:ascii="Arial" w:hAnsi="Arial" w:cs="Arial"/>
          <w:b/>
          <w:color w:val="auto"/>
        </w:rPr>
      </w:pPr>
      <w:r w:rsidRPr="00F5371A">
        <w:rPr>
          <w:rFonts w:ascii="Arial" w:hAnsi="Arial" w:cs="Arial"/>
          <w:b/>
          <w:i/>
          <w:color w:val="auto"/>
        </w:rPr>
        <w:t xml:space="preserve">Samuel v. Chrysler, </w:t>
      </w:r>
      <w:hyperlink r:id="rId16" w:history="1">
        <w:r w:rsidRPr="00F5371A">
          <w:rPr>
            <w:rStyle w:val="Hyperlink"/>
            <w:rFonts w:ascii="Arial" w:hAnsi="Arial" w:cs="Arial"/>
            <w:b/>
          </w:rPr>
          <w:t>2007 BCCA 431</w:t>
        </w:r>
      </w:hyperlink>
      <w:r w:rsidRPr="00F5371A">
        <w:rPr>
          <w:rFonts w:ascii="Arial" w:hAnsi="Arial" w:cs="Arial"/>
          <w:b/>
          <w:i/>
          <w:color w:val="auto"/>
        </w:rPr>
        <w:t xml:space="preserve"> </w:t>
      </w:r>
    </w:p>
    <w:p w:rsidR="007154A5" w:rsidRPr="007154A5" w:rsidRDefault="007154A5" w:rsidP="00C67969">
      <w:pPr>
        <w:pStyle w:val="Default"/>
        <w:numPr>
          <w:ilvl w:val="1"/>
          <w:numId w:val="13"/>
        </w:numPr>
        <w:spacing w:after="240"/>
        <w:jc w:val="both"/>
        <w:rPr>
          <w:rFonts w:ascii="Arial" w:hAnsi="Arial" w:cs="Arial"/>
          <w:color w:val="auto"/>
        </w:rPr>
      </w:pPr>
      <w:r w:rsidRPr="007154A5">
        <w:rPr>
          <w:rFonts w:ascii="Arial" w:hAnsi="Arial" w:cs="Arial"/>
          <w:i/>
          <w:color w:val="auto"/>
        </w:rPr>
        <w:t>“</w:t>
      </w:r>
      <w:r w:rsidRPr="007154A5">
        <w:rPr>
          <w:rFonts w:ascii="Arial" w:hAnsi="Arial" w:cs="Arial"/>
        </w:rPr>
        <w:t>The practice of tendering copious volumes of clinical records is one that is to be discouraged.</w:t>
      </w:r>
      <w:r>
        <w:rPr>
          <w:rFonts w:ascii="Arial" w:hAnsi="Arial" w:cs="Arial"/>
        </w:rPr>
        <w:t>”</w:t>
      </w:r>
    </w:p>
    <w:p w:rsidR="007154A5" w:rsidRDefault="007154A5" w:rsidP="007154A5">
      <w:pPr>
        <w:pStyle w:val="Default"/>
        <w:spacing w:after="240"/>
        <w:ind w:left="1493"/>
        <w:jc w:val="both"/>
        <w:rPr>
          <w:rFonts w:ascii="Arial" w:hAnsi="Arial" w:cs="Arial"/>
        </w:rPr>
      </w:pPr>
      <w:r w:rsidRPr="007154A5">
        <w:rPr>
          <w:rFonts w:ascii="Arial" w:hAnsi="Arial" w:cs="Arial"/>
        </w:rPr>
        <w:lastRenderedPageBreak/>
        <w:t>[39] The preferable approach is obvious. Clinical records should not be admitted</w:t>
      </w:r>
      <w:r>
        <w:rPr>
          <w:rFonts w:ascii="Arial" w:hAnsi="Arial" w:cs="Arial"/>
        </w:rPr>
        <w:t xml:space="preserve"> </w:t>
      </w:r>
      <w:r>
        <w:rPr>
          <w:rFonts w:ascii="Arial" w:hAnsi="Arial" w:cs="Arial"/>
        </w:rPr>
        <w:t>into evidence, by consent or otherwise, unless counsel identify the specific purpose</w:t>
      </w:r>
      <w:r>
        <w:rPr>
          <w:rFonts w:ascii="Arial" w:hAnsi="Arial" w:cs="Arial"/>
        </w:rPr>
        <w:t xml:space="preserve"> </w:t>
      </w:r>
      <w:r>
        <w:rPr>
          <w:rFonts w:ascii="Arial" w:hAnsi="Arial" w:cs="Arial"/>
        </w:rPr>
        <w:t>for particular portions of the records. Furthermore, it would be preferable to</w:t>
      </w:r>
      <w:r>
        <w:rPr>
          <w:rFonts w:ascii="Arial" w:hAnsi="Arial" w:cs="Arial"/>
        </w:rPr>
        <w:t xml:space="preserve"> </w:t>
      </w:r>
      <w:r>
        <w:rPr>
          <w:rFonts w:ascii="Arial" w:hAnsi="Arial" w:cs="Arial"/>
        </w:rPr>
        <w:t>introduce discrete portions of the records when they become relevant so that their</w:t>
      </w:r>
      <w:r>
        <w:rPr>
          <w:rFonts w:ascii="Arial" w:hAnsi="Arial" w:cs="Arial"/>
        </w:rPr>
        <w:t xml:space="preserve"> </w:t>
      </w:r>
      <w:r>
        <w:rPr>
          <w:rFonts w:ascii="Arial" w:hAnsi="Arial" w:cs="Arial"/>
        </w:rPr>
        <w:t>admissibility can be ruled on at that time, when the jury will better appreciate the</w:t>
      </w:r>
      <w:r>
        <w:rPr>
          <w:rFonts w:ascii="Arial" w:hAnsi="Arial" w:cs="Arial"/>
        </w:rPr>
        <w:t xml:space="preserve"> </w:t>
      </w:r>
      <w:r>
        <w:rPr>
          <w:rFonts w:ascii="Arial" w:hAnsi="Arial" w:cs="Arial"/>
        </w:rPr>
        <w:t>purpose of those portions in the context of the case and will have the assistance of a</w:t>
      </w:r>
      <w:r>
        <w:rPr>
          <w:rFonts w:ascii="Arial" w:hAnsi="Arial" w:cs="Arial"/>
        </w:rPr>
        <w:t xml:space="preserve"> </w:t>
      </w:r>
      <w:r>
        <w:rPr>
          <w:rFonts w:ascii="Arial" w:hAnsi="Arial" w:cs="Arial"/>
        </w:rPr>
        <w:t>contemporaneous limiting instruction. In no event should a "book" of documents</w:t>
      </w:r>
      <w:r>
        <w:rPr>
          <w:rFonts w:ascii="Arial" w:hAnsi="Arial" w:cs="Arial"/>
          <w:color w:val="auto"/>
        </w:rPr>
        <w:t xml:space="preserve"> </w:t>
      </w:r>
      <w:r>
        <w:rPr>
          <w:rFonts w:ascii="Arial" w:hAnsi="Arial" w:cs="Arial"/>
        </w:rPr>
        <w:t>simply be handed up to the court and admitted as a whole.</w:t>
      </w:r>
    </w:p>
    <w:p w:rsidR="00F5371A" w:rsidRPr="00F5371A" w:rsidRDefault="00F5371A" w:rsidP="007154A5">
      <w:pPr>
        <w:pStyle w:val="Default"/>
        <w:spacing w:after="240"/>
        <w:ind w:left="1493"/>
        <w:jc w:val="both"/>
        <w:rPr>
          <w:rFonts w:ascii="Arial" w:hAnsi="Arial" w:cs="Arial"/>
          <w:color w:val="auto"/>
        </w:rPr>
      </w:pPr>
      <w:r>
        <w:rPr>
          <w:rFonts w:ascii="Arial" w:hAnsi="Arial" w:cs="Arial"/>
        </w:rPr>
        <w:t xml:space="preserve">See also </w:t>
      </w:r>
      <w:r>
        <w:rPr>
          <w:rFonts w:ascii="Arial" w:hAnsi="Arial" w:cs="Arial"/>
          <w:i/>
        </w:rPr>
        <w:t xml:space="preserve">Han v. Park, </w:t>
      </w:r>
      <w:r>
        <w:rPr>
          <w:rFonts w:ascii="Arial" w:hAnsi="Arial" w:cs="Arial"/>
        </w:rPr>
        <w:t>2015 BCCA 324</w:t>
      </w:r>
    </w:p>
    <w:p w:rsidR="00096C43" w:rsidRPr="008E7D0E" w:rsidRDefault="00F5371A" w:rsidP="00F5371A">
      <w:pPr>
        <w:pStyle w:val="Default"/>
        <w:spacing w:after="240"/>
        <w:ind w:left="720" w:firstLine="360"/>
        <w:jc w:val="both"/>
        <w:rPr>
          <w:rFonts w:ascii="Arial" w:hAnsi="Arial" w:cs="Arial"/>
          <w:color w:val="auto"/>
        </w:rPr>
      </w:pPr>
      <w:proofErr w:type="spellStart"/>
      <w:r w:rsidRPr="008E7D0E">
        <w:rPr>
          <w:rFonts w:ascii="Arial" w:hAnsi="Arial" w:cs="Arial"/>
          <w:i/>
          <w:color w:val="auto"/>
        </w:rPr>
        <w:t>Teunissen</w:t>
      </w:r>
      <w:proofErr w:type="spellEnd"/>
      <w:r w:rsidRPr="008E7D0E">
        <w:rPr>
          <w:rFonts w:ascii="Arial" w:hAnsi="Arial" w:cs="Arial"/>
          <w:i/>
          <w:color w:val="auto"/>
        </w:rPr>
        <w:t xml:space="preserve"> v. </w:t>
      </w:r>
      <w:proofErr w:type="spellStart"/>
      <w:r w:rsidRPr="008E7D0E">
        <w:rPr>
          <w:rFonts w:ascii="Arial" w:hAnsi="Arial" w:cs="Arial"/>
          <w:i/>
          <w:color w:val="auto"/>
        </w:rPr>
        <w:t>Hulstra</w:t>
      </w:r>
      <w:proofErr w:type="spellEnd"/>
      <w:r w:rsidRPr="008E7D0E">
        <w:rPr>
          <w:rFonts w:ascii="Arial" w:hAnsi="Arial" w:cs="Arial"/>
          <w:i/>
          <w:color w:val="auto"/>
        </w:rPr>
        <w:t xml:space="preserve">, </w:t>
      </w:r>
      <w:r w:rsidRPr="008E7D0E">
        <w:rPr>
          <w:rFonts w:ascii="Arial" w:hAnsi="Arial" w:cs="Arial"/>
          <w:color w:val="auto"/>
        </w:rPr>
        <w:t>2017 BCSC 2365</w:t>
      </w:r>
    </w:p>
    <w:p w:rsidR="00F5371A" w:rsidRDefault="00F5371A" w:rsidP="00F5371A">
      <w:pPr>
        <w:pStyle w:val="Default"/>
        <w:numPr>
          <w:ilvl w:val="1"/>
          <w:numId w:val="13"/>
        </w:numPr>
        <w:spacing w:after="240"/>
        <w:jc w:val="both"/>
        <w:rPr>
          <w:rFonts w:ascii="Arial" w:hAnsi="Arial" w:cs="Arial"/>
          <w:color w:val="auto"/>
        </w:rPr>
      </w:pPr>
      <w:r>
        <w:rPr>
          <w:rFonts w:ascii="Arial" w:hAnsi="Arial" w:cs="Arial"/>
          <w:color w:val="auto"/>
        </w:rPr>
        <w:t xml:space="preserve">Defendant’s counsel sought to enter into evidence a binder of the plaintiff’s Facebook postings for a 1.5 year period, totaling 258 pages.   </w:t>
      </w:r>
    </w:p>
    <w:p w:rsidR="00F5371A" w:rsidRPr="00F5371A" w:rsidRDefault="00F5371A" w:rsidP="00F5371A">
      <w:pPr>
        <w:autoSpaceDE w:val="0"/>
        <w:autoSpaceDN w:val="0"/>
        <w:adjustRightInd w:val="0"/>
        <w:spacing w:after="397"/>
        <w:ind w:left="1530"/>
        <w:jc w:val="both"/>
        <w:rPr>
          <w:rFonts w:ascii="Arial" w:eastAsiaTheme="minorHAnsi" w:hAnsi="Arial" w:cs="Arial"/>
          <w:color w:val="000000"/>
          <w:szCs w:val="23"/>
        </w:rPr>
      </w:pPr>
      <w:r w:rsidRPr="00F5371A">
        <w:rPr>
          <w:rFonts w:ascii="Arial" w:eastAsiaTheme="minorHAnsi" w:hAnsi="Arial" w:cs="Arial"/>
          <w:color w:val="000000"/>
          <w:szCs w:val="23"/>
        </w:rPr>
        <w:t xml:space="preserve">[18] This comment is particularly apt in this case. It is simply not apparent </w:t>
      </w:r>
      <w:proofErr w:type="spellStart"/>
      <w:r w:rsidRPr="00F5371A">
        <w:rPr>
          <w:rFonts w:ascii="Arial" w:eastAsiaTheme="minorHAnsi" w:hAnsi="Arial" w:cs="Arial"/>
          <w:color w:val="000000"/>
          <w:szCs w:val="23"/>
        </w:rPr>
        <w:t>how ever</w:t>
      </w:r>
      <w:proofErr w:type="spellEnd"/>
      <w:r w:rsidRPr="00F5371A">
        <w:rPr>
          <w:rFonts w:ascii="Arial" w:eastAsiaTheme="minorHAnsi" w:hAnsi="Arial" w:cs="Arial"/>
          <w:color w:val="000000"/>
          <w:szCs w:val="23"/>
        </w:rPr>
        <w:t xml:space="preserve"> single Facebook entry over the course of four years is relevant in this matter. Indeed, to accede to this argument could result in lengthy, unmanageable trials, which the rules of evidence are in place to constrain. </w:t>
      </w:r>
    </w:p>
    <w:p w:rsidR="00F5371A" w:rsidRPr="00F5371A" w:rsidRDefault="00F5371A" w:rsidP="00F5371A">
      <w:pPr>
        <w:autoSpaceDE w:val="0"/>
        <w:autoSpaceDN w:val="0"/>
        <w:adjustRightInd w:val="0"/>
        <w:spacing w:after="397"/>
        <w:ind w:left="1530"/>
        <w:jc w:val="both"/>
        <w:rPr>
          <w:rFonts w:ascii="Arial" w:eastAsiaTheme="minorHAnsi" w:hAnsi="Arial" w:cs="Arial"/>
          <w:color w:val="000000"/>
          <w:szCs w:val="23"/>
        </w:rPr>
      </w:pPr>
      <w:r w:rsidRPr="00F5371A">
        <w:rPr>
          <w:rFonts w:ascii="Arial" w:eastAsiaTheme="minorHAnsi" w:hAnsi="Arial" w:cs="Arial"/>
          <w:color w:val="000000"/>
          <w:szCs w:val="23"/>
        </w:rPr>
        <w:t xml:space="preserve">[19] I conclude, therefore, that the proper approach is for the defendant to seek the entry of the pertinent post or picture after properly identifying it, establishing its relevance, and questioning the author on that matter. At that point, the parties can agree or the court will determine whether it should be properly marked as an evidentiary exhibit in this matter. </w:t>
      </w:r>
    </w:p>
    <w:p w:rsidR="00F5371A" w:rsidRPr="00F5371A" w:rsidRDefault="00F5371A" w:rsidP="00F5371A">
      <w:pPr>
        <w:autoSpaceDE w:val="0"/>
        <w:autoSpaceDN w:val="0"/>
        <w:adjustRightInd w:val="0"/>
        <w:ind w:left="1530"/>
        <w:jc w:val="both"/>
        <w:rPr>
          <w:rFonts w:ascii="Arial" w:eastAsiaTheme="minorHAnsi" w:hAnsi="Arial" w:cs="Arial"/>
          <w:color w:val="000000"/>
          <w:szCs w:val="23"/>
        </w:rPr>
      </w:pPr>
      <w:r w:rsidRPr="00F5371A">
        <w:rPr>
          <w:rFonts w:ascii="Arial" w:eastAsiaTheme="minorHAnsi" w:hAnsi="Arial" w:cs="Arial"/>
          <w:color w:val="000000"/>
          <w:szCs w:val="23"/>
        </w:rPr>
        <w:t xml:space="preserve">[20] Accordingly, I decline to admit the plaintiff's public Facebook binder of postings for the last four years, in combination with the Tri-City postings, as an evidentiary exhibit in this matter. The Facebook binder can continue to be used and </w:t>
      </w:r>
      <w:r w:rsidRPr="00F5371A">
        <w:rPr>
          <w:rFonts w:ascii="Arial" w:eastAsiaTheme="minorHAnsi" w:hAnsi="Arial" w:cs="Arial"/>
          <w:color w:val="000000"/>
          <w:sz w:val="23"/>
          <w:szCs w:val="23"/>
        </w:rPr>
        <w:t xml:space="preserve">referred to as Exhibit A for identification. Particular postings or pictures, which are relevant, may be made an exhibit in the appropriate manner and time. </w:t>
      </w:r>
    </w:p>
    <w:p w:rsidR="00F5371A" w:rsidRPr="00F5371A" w:rsidRDefault="00F5371A" w:rsidP="00F5371A">
      <w:pPr>
        <w:autoSpaceDE w:val="0"/>
        <w:autoSpaceDN w:val="0"/>
        <w:adjustRightInd w:val="0"/>
        <w:ind w:left="1530"/>
        <w:jc w:val="both"/>
        <w:rPr>
          <w:rFonts w:ascii="Arial" w:eastAsiaTheme="minorHAnsi" w:hAnsi="Arial" w:cs="Arial"/>
          <w:color w:val="000000"/>
          <w:szCs w:val="23"/>
        </w:rPr>
      </w:pPr>
    </w:p>
    <w:p w:rsidR="002F17FD" w:rsidRPr="00C813BC" w:rsidRDefault="002F17FD" w:rsidP="00C813BC">
      <w:pPr>
        <w:pStyle w:val="Default"/>
        <w:numPr>
          <w:ilvl w:val="0"/>
          <w:numId w:val="13"/>
        </w:numPr>
        <w:spacing w:after="240"/>
        <w:jc w:val="both"/>
        <w:rPr>
          <w:rFonts w:ascii="Arial" w:hAnsi="Arial" w:cs="Arial"/>
          <w:color w:val="auto"/>
        </w:rPr>
      </w:pPr>
      <w:r w:rsidRPr="00C813BC">
        <w:rPr>
          <w:rFonts w:ascii="Arial" w:hAnsi="Arial" w:cs="Arial"/>
          <w:color w:val="auto"/>
        </w:rPr>
        <w:t xml:space="preserve">Err on the side of caution: do your homework in advance, amend your list of documents as soon as you are aware of a new relevant document, and disclose the document before trial: </w:t>
      </w:r>
      <w:r w:rsidRPr="00C813BC">
        <w:rPr>
          <w:rFonts w:ascii="Arial" w:hAnsi="Arial" w:cs="Arial"/>
          <w:b/>
          <w:i/>
          <w:color w:val="auto"/>
        </w:rPr>
        <w:t>Walker v. Doe,</w:t>
      </w:r>
      <w:r w:rsidRPr="00C813BC">
        <w:rPr>
          <w:rFonts w:ascii="Arial" w:hAnsi="Arial" w:cs="Arial"/>
          <w:b/>
          <w:color w:val="auto"/>
        </w:rPr>
        <w:t xml:space="preserve">  </w:t>
      </w:r>
      <w:hyperlink r:id="rId17" w:history="1">
        <w:r w:rsidRPr="00C813BC">
          <w:rPr>
            <w:rStyle w:val="Hyperlink"/>
            <w:rFonts w:ascii="Arial" w:hAnsi="Arial" w:cs="Arial"/>
            <w:b/>
          </w:rPr>
          <w:t>2012 BCSC 1091</w:t>
        </w:r>
      </w:hyperlink>
      <w:r w:rsidRPr="00C813BC">
        <w:rPr>
          <w:rFonts w:ascii="Arial" w:hAnsi="Arial" w:cs="Arial"/>
          <w:color w:val="auto"/>
        </w:rPr>
        <w:t xml:space="preserve"> </w:t>
      </w:r>
    </w:p>
    <w:p w:rsidR="002F17FD" w:rsidRPr="00C813BC" w:rsidRDefault="002F17FD" w:rsidP="00C813BC">
      <w:pPr>
        <w:pStyle w:val="Default"/>
        <w:numPr>
          <w:ilvl w:val="3"/>
          <w:numId w:val="13"/>
        </w:numPr>
        <w:spacing w:after="240"/>
        <w:ind w:left="1440"/>
        <w:jc w:val="both"/>
        <w:rPr>
          <w:rFonts w:ascii="Arial" w:hAnsi="Arial" w:cs="Arial"/>
          <w:color w:val="auto"/>
        </w:rPr>
      </w:pPr>
      <w:r w:rsidRPr="00C813BC">
        <w:rPr>
          <w:rFonts w:ascii="Arial" w:hAnsi="Arial" w:cs="Arial"/>
          <w:color w:val="auto"/>
        </w:rPr>
        <w:t>During cross-examination of ICBC’s engineering expert, plaintiff’s counsel was about to make reference to two documents that originated in ICBC manuals re: safe handling of motorcycles and proper means of inspecting / fastening tires on vehicles.  In a previous case, the expert considered the contents of these manuals to be authoritative.</w:t>
      </w:r>
    </w:p>
    <w:p w:rsidR="002F17FD" w:rsidRPr="00C813BC" w:rsidRDefault="002F17FD" w:rsidP="00C813BC">
      <w:pPr>
        <w:pStyle w:val="Default"/>
        <w:numPr>
          <w:ilvl w:val="3"/>
          <w:numId w:val="13"/>
        </w:numPr>
        <w:spacing w:after="240"/>
        <w:ind w:left="1440"/>
        <w:jc w:val="both"/>
        <w:rPr>
          <w:rFonts w:ascii="Arial" w:hAnsi="Arial" w:cs="Arial"/>
          <w:color w:val="auto"/>
        </w:rPr>
      </w:pPr>
      <w:r w:rsidRPr="00C813BC">
        <w:rPr>
          <w:rFonts w:ascii="Arial" w:hAnsi="Arial" w:cs="Arial"/>
          <w:color w:val="auto"/>
        </w:rPr>
        <w:lastRenderedPageBreak/>
        <w:t>ICBC’s counsel objected.</w:t>
      </w:r>
    </w:p>
    <w:p w:rsidR="002F17FD" w:rsidRPr="00C813BC" w:rsidRDefault="002F17FD" w:rsidP="00C813BC">
      <w:pPr>
        <w:pStyle w:val="Default"/>
        <w:numPr>
          <w:ilvl w:val="3"/>
          <w:numId w:val="13"/>
        </w:numPr>
        <w:spacing w:after="240"/>
        <w:ind w:left="1440"/>
        <w:jc w:val="both"/>
        <w:rPr>
          <w:rFonts w:ascii="Arial" w:hAnsi="Arial" w:cs="Arial"/>
          <w:color w:val="auto"/>
        </w:rPr>
      </w:pPr>
      <w:r w:rsidRPr="00C813BC">
        <w:rPr>
          <w:rFonts w:ascii="Arial" w:hAnsi="Arial" w:cs="Arial"/>
          <w:color w:val="auto"/>
        </w:rPr>
        <w:t>Plaintiff’s counsel said he was unaware of the existence of these documents until the weekend before.  Defendant’s counsel did not list the documents either because they were unaware of the existence of these documents.</w:t>
      </w:r>
    </w:p>
    <w:p w:rsidR="002F17FD" w:rsidRPr="00C813BC" w:rsidRDefault="002F17FD" w:rsidP="00C813BC">
      <w:pPr>
        <w:pStyle w:val="Default"/>
        <w:numPr>
          <w:ilvl w:val="3"/>
          <w:numId w:val="13"/>
        </w:numPr>
        <w:spacing w:after="240"/>
        <w:ind w:left="1440"/>
        <w:jc w:val="both"/>
        <w:rPr>
          <w:rFonts w:ascii="Arial" w:hAnsi="Arial" w:cs="Arial"/>
          <w:color w:val="auto"/>
        </w:rPr>
      </w:pPr>
      <w:r w:rsidRPr="00C813BC">
        <w:rPr>
          <w:rFonts w:ascii="Arial" w:hAnsi="Arial" w:cs="Arial"/>
          <w:color w:val="auto"/>
        </w:rPr>
        <w:t xml:space="preserve">Defendants objected to plaintiff’s reference to these documents because they were not listed.  </w:t>
      </w:r>
    </w:p>
    <w:p w:rsidR="002F17FD" w:rsidRPr="00C813BC" w:rsidRDefault="002F17FD" w:rsidP="00C813BC">
      <w:pPr>
        <w:pStyle w:val="Default"/>
        <w:numPr>
          <w:ilvl w:val="3"/>
          <w:numId w:val="13"/>
        </w:numPr>
        <w:spacing w:after="240"/>
        <w:ind w:left="1440"/>
        <w:jc w:val="both"/>
        <w:rPr>
          <w:rFonts w:ascii="Arial" w:hAnsi="Arial" w:cs="Arial"/>
          <w:color w:val="auto"/>
        </w:rPr>
      </w:pPr>
      <w:r w:rsidRPr="00C813BC">
        <w:rPr>
          <w:rFonts w:ascii="Arial" w:hAnsi="Arial" w:cs="Arial"/>
          <w:color w:val="auto"/>
        </w:rPr>
        <w:t>There are 4 factors applicable to the exercise of discretion to admit previously undisclosed evidence (at paras. 13-17):</w:t>
      </w:r>
    </w:p>
    <w:p w:rsidR="002F17FD" w:rsidRPr="00C813BC" w:rsidRDefault="002F17FD" w:rsidP="00C813BC">
      <w:pPr>
        <w:pStyle w:val="Default"/>
        <w:numPr>
          <w:ilvl w:val="4"/>
          <w:numId w:val="13"/>
        </w:numPr>
        <w:spacing w:after="240"/>
        <w:ind w:left="1800"/>
        <w:jc w:val="both"/>
        <w:rPr>
          <w:rFonts w:ascii="Arial" w:hAnsi="Arial" w:cs="Arial"/>
          <w:color w:val="auto"/>
        </w:rPr>
      </w:pPr>
      <w:r w:rsidRPr="00C813BC">
        <w:rPr>
          <w:rFonts w:ascii="Arial" w:hAnsi="Arial" w:cs="Arial"/>
          <w:color w:val="auto"/>
        </w:rPr>
        <w:t>Whether the defendant would suffer prejudice if the use of the documents is permitted.</w:t>
      </w:r>
    </w:p>
    <w:p w:rsidR="002F17FD" w:rsidRPr="00C813BC" w:rsidRDefault="002F17FD" w:rsidP="00C813BC">
      <w:pPr>
        <w:pStyle w:val="Default"/>
        <w:numPr>
          <w:ilvl w:val="4"/>
          <w:numId w:val="13"/>
        </w:numPr>
        <w:spacing w:after="240"/>
        <w:ind w:left="1800"/>
        <w:jc w:val="both"/>
        <w:rPr>
          <w:rFonts w:ascii="Arial" w:hAnsi="Arial" w:cs="Arial"/>
          <w:color w:val="auto"/>
        </w:rPr>
      </w:pPr>
      <w:r w:rsidRPr="00C813BC">
        <w:rPr>
          <w:rFonts w:ascii="Arial" w:hAnsi="Arial" w:cs="Arial"/>
          <w:color w:val="auto"/>
        </w:rPr>
        <w:t xml:space="preserve">Whether there is a reasonable explanation for the failure to disclose the document in question.  </w:t>
      </w:r>
    </w:p>
    <w:p w:rsidR="002F17FD" w:rsidRPr="00C813BC" w:rsidRDefault="002F17FD" w:rsidP="00C813BC">
      <w:pPr>
        <w:pStyle w:val="Default"/>
        <w:numPr>
          <w:ilvl w:val="4"/>
          <w:numId w:val="13"/>
        </w:numPr>
        <w:spacing w:after="240"/>
        <w:ind w:left="1800"/>
        <w:jc w:val="both"/>
        <w:rPr>
          <w:rFonts w:ascii="Arial" w:hAnsi="Arial" w:cs="Arial"/>
          <w:color w:val="auto"/>
        </w:rPr>
      </w:pPr>
      <w:r w:rsidRPr="00C813BC">
        <w:rPr>
          <w:rFonts w:ascii="Arial" w:hAnsi="Arial" w:cs="Arial"/>
          <w:color w:val="auto"/>
        </w:rPr>
        <w:t>Whether excluding the document would prevent the determination of the relevant issue on its merits.  (Are the documents probative?)</w:t>
      </w:r>
    </w:p>
    <w:p w:rsidR="002F17FD" w:rsidRPr="00C813BC" w:rsidRDefault="002F17FD" w:rsidP="00C813BC">
      <w:pPr>
        <w:pStyle w:val="Default"/>
        <w:numPr>
          <w:ilvl w:val="4"/>
          <w:numId w:val="13"/>
        </w:numPr>
        <w:spacing w:after="240"/>
        <w:ind w:left="1800"/>
        <w:jc w:val="both"/>
        <w:rPr>
          <w:rFonts w:ascii="Arial" w:hAnsi="Arial" w:cs="Arial"/>
          <w:color w:val="auto"/>
        </w:rPr>
      </w:pPr>
      <w:r w:rsidRPr="00C813BC">
        <w:rPr>
          <w:rFonts w:ascii="Arial" w:hAnsi="Arial" w:cs="Arial"/>
          <w:color w:val="auto"/>
        </w:rPr>
        <w:t xml:space="preserve">Whether, in the circumstances of the case, the ends of justice require that the use of the document be permitted.  </w:t>
      </w:r>
    </w:p>
    <w:p w:rsidR="002F17FD" w:rsidRPr="00C813BC" w:rsidRDefault="002F17FD" w:rsidP="00C813BC">
      <w:pPr>
        <w:pStyle w:val="Default"/>
        <w:numPr>
          <w:ilvl w:val="3"/>
          <w:numId w:val="13"/>
        </w:numPr>
        <w:spacing w:after="240"/>
        <w:ind w:left="1440"/>
        <w:jc w:val="both"/>
        <w:rPr>
          <w:rFonts w:ascii="Arial" w:hAnsi="Arial" w:cs="Arial"/>
          <w:color w:val="auto"/>
        </w:rPr>
      </w:pPr>
      <w:r w:rsidRPr="00C813BC">
        <w:rPr>
          <w:rFonts w:ascii="Arial" w:hAnsi="Arial" w:cs="Arial"/>
          <w:color w:val="auto"/>
        </w:rPr>
        <w:t>Plaintiff’s counsel was permitted to put the documents to the expert.</w:t>
      </w:r>
    </w:p>
    <w:p w:rsidR="00BA7DA9" w:rsidRDefault="00BA7DA9" w:rsidP="002F17FD">
      <w:pPr>
        <w:pStyle w:val="Default"/>
        <w:numPr>
          <w:ilvl w:val="1"/>
          <w:numId w:val="1"/>
        </w:numPr>
        <w:spacing w:before="360" w:after="360"/>
        <w:jc w:val="both"/>
        <w:rPr>
          <w:rFonts w:ascii="Arial" w:hAnsi="Arial" w:cs="Arial"/>
          <w:b/>
          <w:sz w:val="28"/>
        </w:rPr>
      </w:pPr>
      <w:r>
        <w:rPr>
          <w:rFonts w:ascii="Arial" w:hAnsi="Arial" w:cs="Arial"/>
          <w:b/>
          <w:sz w:val="28"/>
        </w:rPr>
        <w:t>Judicial Notice</w:t>
      </w:r>
    </w:p>
    <w:p w:rsidR="00BA7DA9" w:rsidRDefault="00BA7DA9" w:rsidP="00BA7DA9">
      <w:pPr>
        <w:pStyle w:val="ListParagraph"/>
        <w:numPr>
          <w:ilvl w:val="0"/>
          <w:numId w:val="20"/>
        </w:numPr>
        <w:spacing w:after="200"/>
        <w:ind w:left="360"/>
        <w:contextualSpacing w:val="0"/>
        <w:rPr>
          <w:rFonts w:ascii="Arial" w:hAnsi="Arial" w:cs="Arial"/>
        </w:rPr>
      </w:pPr>
      <w:r>
        <w:rPr>
          <w:rFonts w:ascii="Arial" w:hAnsi="Arial" w:cs="Arial"/>
        </w:rPr>
        <w:t xml:space="preserve">In </w:t>
      </w:r>
      <w:proofErr w:type="spellStart"/>
      <w:r>
        <w:rPr>
          <w:rFonts w:ascii="Arial" w:hAnsi="Arial" w:cs="Arial"/>
          <w:i/>
        </w:rPr>
        <w:t>Tsawwassen</w:t>
      </w:r>
      <w:proofErr w:type="spellEnd"/>
      <w:r>
        <w:rPr>
          <w:rFonts w:ascii="Arial" w:hAnsi="Arial" w:cs="Arial"/>
          <w:i/>
        </w:rPr>
        <w:t xml:space="preserve"> Indian Band v. Delta (Corp.), </w:t>
      </w:r>
      <w:r>
        <w:rPr>
          <w:rFonts w:ascii="Arial" w:hAnsi="Arial" w:cs="Arial"/>
        </w:rPr>
        <w:t xml:space="preserve">[1997] 95 BCAC 241 (CA), the British Columbia Court of Appeal addressed the availability of judicial notice, at paras. 98-99 (recently cited with approval in </w:t>
      </w:r>
      <w:r>
        <w:rPr>
          <w:rFonts w:ascii="Arial" w:hAnsi="Arial" w:cs="Arial"/>
          <w:i/>
        </w:rPr>
        <w:t xml:space="preserve">Elite Mortgage Corp. v. </w:t>
      </w:r>
      <w:proofErr w:type="spellStart"/>
      <w:r>
        <w:rPr>
          <w:rFonts w:ascii="Arial" w:hAnsi="Arial" w:cs="Arial"/>
          <w:i/>
        </w:rPr>
        <w:t>Derewenko</w:t>
      </w:r>
      <w:proofErr w:type="spellEnd"/>
      <w:r>
        <w:rPr>
          <w:rFonts w:ascii="Arial" w:hAnsi="Arial" w:cs="Arial"/>
          <w:i/>
        </w:rPr>
        <w:t xml:space="preserve">, </w:t>
      </w:r>
      <w:r>
        <w:rPr>
          <w:rFonts w:ascii="Arial" w:hAnsi="Arial" w:cs="Arial"/>
        </w:rPr>
        <w:t xml:space="preserve">2019 BCCA 125, at para. 24): </w:t>
      </w:r>
      <w:r w:rsidR="008E7D0E">
        <w:rPr>
          <w:rFonts w:ascii="Arial" w:hAnsi="Arial" w:cs="Arial"/>
        </w:rPr>
        <w:t>“Courts may properly accept the truth of a fact or state of affairs without proof where the matter is of such common knowledge in the community that it cannot reasonably be disputed.” (at para. 98).</w:t>
      </w:r>
    </w:p>
    <w:p w:rsidR="002F17FD" w:rsidRDefault="002F17FD" w:rsidP="002F17FD">
      <w:pPr>
        <w:pStyle w:val="Default"/>
        <w:numPr>
          <w:ilvl w:val="1"/>
          <w:numId w:val="1"/>
        </w:numPr>
        <w:spacing w:after="240"/>
        <w:jc w:val="both"/>
        <w:rPr>
          <w:rFonts w:ascii="Arial" w:hAnsi="Arial" w:cs="Arial"/>
          <w:b/>
          <w:sz w:val="28"/>
        </w:rPr>
      </w:pPr>
      <w:r>
        <w:rPr>
          <w:rFonts w:ascii="Arial" w:hAnsi="Arial" w:cs="Arial"/>
          <w:b/>
          <w:sz w:val="28"/>
        </w:rPr>
        <w:lastRenderedPageBreak/>
        <w:t>Admissions</w:t>
      </w:r>
    </w:p>
    <w:p w:rsidR="00BA7DA9" w:rsidRDefault="00BA7DA9" w:rsidP="00BA7DA9">
      <w:pPr>
        <w:pStyle w:val="ListParagraph"/>
        <w:numPr>
          <w:ilvl w:val="0"/>
          <w:numId w:val="25"/>
        </w:numPr>
        <w:spacing w:after="200"/>
        <w:contextualSpacing w:val="0"/>
        <w:rPr>
          <w:rFonts w:ascii="Arial" w:hAnsi="Arial" w:cs="Arial"/>
        </w:rPr>
      </w:pPr>
      <w:r>
        <w:rPr>
          <w:rFonts w:ascii="Arial" w:hAnsi="Arial" w:cs="Arial"/>
        </w:rPr>
        <w:t xml:space="preserve">Parties can and do routinely enter into </w:t>
      </w:r>
      <w:r w:rsidR="002F17FD">
        <w:rPr>
          <w:rFonts w:ascii="Arial" w:hAnsi="Arial" w:cs="Arial"/>
        </w:rPr>
        <w:t>an Agreed Statement</w:t>
      </w:r>
      <w:r>
        <w:rPr>
          <w:rFonts w:ascii="Arial" w:hAnsi="Arial" w:cs="Arial"/>
        </w:rPr>
        <w:t xml:space="preserve"> of Fact</w:t>
      </w:r>
      <w:r w:rsidR="002F17FD">
        <w:rPr>
          <w:rFonts w:ascii="Arial" w:hAnsi="Arial" w:cs="Arial"/>
        </w:rPr>
        <w:t>s</w:t>
      </w:r>
      <w:r>
        <w:rPr>
          <w:rFonts w:ascii="Arial" w:hAnsi="Arial" w:cs="Arial"/>
        </w:rPr>
        <w:t>.</w:t>
      </w:r>
    </w:p>
    <w:p w:rsidR="00BB2940" w:rsidRDefault="00BB2940" w:rsidP="00BB2940">
      <w:pPr>
        <w:pStyle w:val="ListParagraph"/>
        <w:numPr>
          <w:ilvl w:val="1"/>
          <w:numId w:val="25"/>
        </w:numPr>
        <w:spacing w:after="200"/>
        <w:contextualSpacing w:val="0"/>
        <w:rPr>
          <w:rFonts w:ascii="Arial" w:hAnsi="Arial" w:cs="Arial"/>
        </w:rPr>
      </w:pPr>
      <w:r>
        <w:rPr>
          <w:rFonts w:ascii="Arial" w:hAnsi="Arial" w:cs="Arial"/>
        </w:rPr>
        <w:t xml:space="preserve">See </w:t>
      </w:r>
      <w:r w:rsidR="008E7D0E">
        <w:rPr>
          <w:rFonts w:ascii="Arial" w:hAnsi="Arial" w:cs="Arial"/>
        </w:rPr>
        <w:t xml:space="preserve">attached </w:t>
      </w:r>
      <w:r>
        <w:rPr>
          <w:rFonts w:ascii="Arial" w:hAnsi="Arial" w:cs="Arial"/>
        </w:rPr>
        <w:t xml:space="preserve">example </w:t>
      </w:r>
      <w:r>
        <w:rPr>
          <w:rFonts w:ascii="Arial" w:hAnsi="Arial" w:cs="Arial"/>
          <w:i/>
        </w:rPr>
        <w:t xml:space="preserve">Agreed Statement of Facts </w:t>
      </w:r>
      <w:r>
        <w:rPr>
          <w:rFonts w:ascii="Arial" w:hAnsi="Arial" w:cs="Arial"/>
        </w:rPr>
        <w:t>from T.S. v. Gough (liability trial)</w:t>
      </w:r>
    </w:p>
    <w:p w:rsidR="00BA7DA9" w:rsidRPr="00052848" w:rsidRDefault="00BA7DA9" w:rsidP="00BA7DA9">
      <w:pPr>
        <w:pStyle w:val="ListParagraph"/>
        <w:numPr>
          <w:ilvl w:val="0"/>
          <w:numId w:val="25"/>
        </w:numPr>
        <w:spacing w:after="200"/>
        <w:contextualSpacing w:val="0"/>
        <w:rPr>
          <w:rFonts w:ascii="Arial" w:hAnsi="Arial" w:cs="Arial"/>
        </w:rPr>
      </w:pPr>
      <w:r>
        <w:rPr>
          <w:rFonts w:ascii="Arial" w:hAnsi="Arial" w:cs="Arial"/>
        </w:rPr>
        <w:t xml:space="preserve">Parties can, in advance of litigation, serve the opposing party with a Notice to Admit under Rule 7-7(4). If not responded to within 14 days, the statements of fact and the authenticity of any documents itemized and attached is </w:t>
      </w:r>
      <w:r>
        <w:rPr>
          <w:rFonts w:ascii="Arial" w:hAnsi="Arial" w:cs="Arial"/>
          <w:i/>
        </w:rPr>
        <w:t>deemed to be admitted.</w:t>
      </w:r>
      <w:r>
        <w:rPr>
          <w:rFonts w:ascii="Arial" w:hAnsi="Arial" w:cs="Arial"/>
        </w:rPr>
        <w:t xml:space="preserve"> A party can deny the truth of a fact, but they cannot do so unreasonably without cost consequences.  See: </w:t>
      </w:r>
      <w:proofErr w:type="spellStart"/>
      <w:r>
        <w:rPr>
          <w:rFonts w:ascii="Arial" w:hAnsi="Arial" w:cs="Arial"/>
          <w:i/>
        </w:rPr>
        <w:t>Ceperkovic</w:t>
      </w:r>
      <w:proofErr w:type="spellEnd"/>
      <w:r>
        <w:rPr>
          <w:rFonts w:ascii="Arial" w:hAnsi="Arial" w:cs="Arial"/>
          <w:i/>
        </w:rPr>
        <w:t xml:space="preserve"> v. MacDonald, </w:t>
      </w:r>
      <w:r>
        <w:rPr>
          <w:rFonts w:ascii="Arial" w:hAnsi="Arial" w:cs="Arial"/>
          <w:color w:val="000000"/>
          <w:shd w:val="clear" w:color="auto" w:fill="FFFFFF"/>
        </w:rPr>
        <w:t>2016 BCSC 939, at paras. 38 and 43:</w:t>
      </w:r>
    </w:p>
    <w:p w:rsidR="00BA7DA9" w:rsidRPr="00C813BC" w:rsidRDefault="00BA7DA9" w:rsidP="00BA7DA9">
      <w:pPr>
        <w:shd w:val="clear" w:color="auto" w:fill="FFFFFF"/>
        <w:spacing w:before="240" w:after="240"/>
        <w:ind w:left="1440"/>
        <w:rPr>
          <w:rFonts w:ascii="Arial" w:eastAsia="Times New Roman" w:hAnsi="Arial" w:cs="Arial"/>
          <w:szCs w:val="25"/>
        </w:rPr>
      </w:pPr>
      <w:r w:rsidRPr="00C813BC">
        <w:rPr>
          <w:rFonts w:ascii="Arial" w:eastAsia="Times New Roman" w:hAnsi="Arial" w:cs="Arial"/>
          <w:iCs/>
          <w:szCs w:val="25"/>
        </w:rPr>
        <w:t>In summary, the failure to admit the truth of a fact may be unreasonable within the meaning of Rule 7-7(4) if:</w:t>
      </w:r>
    </w:p>
    <w:p w:rsidR="00BA7DA9" w:rsidRPr="00C813BC" w:rsidRDefault="00BA7DA9" w:rsidP="00BA7DA9">
      <w:pPr>
        <w:shd w:val="clear" w:color="auto" w:fill="FFFFFF"/>
        <w:spacing w:before="240" w:after="240"/>
        <w:ind w:left="1440"/>
        <w:rPr>
          <w:rFonts w:ascii="Arial" w:eastAsia="Times New Roman" w:hAnsi="Arial" w:cs="Arial"/>
          <w:szCs w:val="25"/>
        </w:rPr>
      </w:pPr>
      <w:r w:rsidRPr="00C813BC">
        <w:rPr>
          <w:rFonts w:ascii="Arial" w:eastAsia="Times New Roman" w:hAnsi="Arial" w:cs="Arial"/>
          <w:iCs/>
          <w:szCs w:val="25"/>
        </w:rPr>
        <w:t>(a)      the truth of the fact is subsequently proved;</w:t>
      </w:r>
    </w:p>
    <w:p w:rsidR="00BA7DA9" w:rsidRPr="00C813BC" w:rsidRDefault="00BA7DA9" w:rsidP="00BA7DA9">
      <w:pPr>
        <w:shd w:val="clear" w:color="auto" w:fill="FFFFFF"/>
        <w:spacing w:before="240" w:after="240"/>
        <w:ind w:left="1440"/>
        <w:rPr>
          <w:rFonts w:ascii="Arial" w:eastAsia="Times New Roman" w:hAnsi="Arial" w:cs="Arial"/>
          <w:szCs w:val="25"/>
        </w:rPr>
      </w:pPr>
      <w:r w:rsidRPr="00C813BC">
        <w:rPr>
          <w:rFonts w:ascii="Arial" w:eastAsia="Times New Roman" w:hAnsi="Arial" w:cs="Arial"/>
          <w:iCs/>
          <w:szCs w:val="25"/>
        </w:rPr>
        <w:t>(b)      the fact was relevant to a material issue in the case;</w:t>
      </w:r>
    </w:p>
    <w:p w:rsidR="00BA7DA9" w:rsidRPr="00C813BC" w:rsidRDefault="00BA7DA9" w:rsidP="00BA7DA9">
      <w:pPr>
        <w:shd w:val="clear" w:color="auto" w:fill="FFFFFF"/>
        <w:spacing w:before="240" w:after="240"/>
        <w:ind w:left="1440"/>
        <w:rPr>
          <w:rFonts w:ascii="Arial" w:eastAsia="Times New Roman" w:hAnsi="Arial" w:cs="Arial"/>
          <w:szCs w:val="25"/>
        </w:rPr>
      </w:pPr>
      <w:r w:rsidRPr="00C813BC">
        <w:rPr>
          <w:rFonts w:ascii="Arial" w:eastAsia="Times New Roman" w:hAnsi="Arial" w:cs="Arial"/>
          <w:iCs/>
          <w:szCs w:val="25"/>
        </w:rPr>
        <w:lastRenderedPageBreak/>
        <w:t>(c)      the fact was not subject to privilege;</w:t>
      </w:r>
    </w:p>
    <w:p w:rsidR="00BA7DA9" w:rsidRPr="00C813BC" w:rsidRDefault="00BA7DA9" w:rsidP="00BA7DA9">
      <w:pPr>
        <w:shd w:val="clear" w:color="auto" w:fill="FFFFFF"/>
        <w:spacing w:before="240" w:after="240"/>
        <w:ind w:left="2160" w:hanging="720"/>
        <w:rPr>
          <w:rFonts w:ascii="Arial" w:eastAsia="Times New Roman" w:hAnsi="Arial" w:cs="Arial"/>
          <w:szCs w:val="25"/>
        </w:rPr>
      </w:pPr>
      <w:r w:rsidRPr="00C813BC">
        <w:rPr>
          <w:rFonts w:ascii="Arial" w:eastAsia="Times New Roman" w:hAnsi="Arial" w:cs="Arial"/>
          <w:iCs/>
          <w:szCs w:val="25"/>
        </w:rPr>
        <w:t>(d)      the notice to admit was not otherwise improper;</w:t>
      </w:r>
    </w:p>
    <w:p w:rsidR="00BA7DA9" w:rsidRPr="00C813BC" w:rsidRDefault="00BA7DA9" w:rsidP="00BA7DA9">
      <w:pPr>
        <w:shd w:val="clear" w:color="auto" w:fill="FFFFFF"/>
        <w:spacing w:before="240" w:after="240"/>
        <w:ind w:left="2160" w:hanging="720"/>
        <w:rPr>
          <w:rFonts w:ascii="Arial" w:eastAsia="Times New Roman" w:hAnsi="Arial" w:cs="Arial"/>
          <w:szCs w:val="25"/>
        </w:rPr>
      </w:pPr>
      <w:r w:rsidRPr="00C813BC">
        <w:rPr>
          <w:rFonts w:ascii="Arial" w:eastAsia="Times New Roman" w:hAnsi="Arial" w:cs="Arial"/>
          <w:iCs/>
          <w:szCs w:val="25"/>
        </w:rPr>
        <w:t>(e)      the notice to admit was reasonably capable of evaluation within the time required for response; and</w:t>
      </w:r>
    </w:p>
    <w:p w:rsidR="00BA7DA9" w:rsidRPr="00C813BC" w:rsidRDefault="00BA7DA9" w:rsidP="00BA7DA9">
      <w:pPr>
        <w:shd w:val="clear" w:color="auto" w:fill="FFFFFF"/>
        <w:spacing w:before="240" w:after="120"/>
        <w:ind w:left="2160" w:hanging="720"/>
        <w:rPr>
          <w:rFonts w:ascii="Arial" w:eastAsia="Times New Roman" w:hAnsi="Arial" w:cs="Arial"/>
          <w:szCs w:val="25"/>
        </w:rPr>
      </w:pPr>
      <w:r w:rsidRPr="00C813BC">
        <w:rPr>
          <w:rFonts w:ascii="Arial" w:eastAsia="Times New Roman" w:hAnsi="Arial" w:cs="Arial"/>
          <w:iCs/>
          <w:szCs w:val="25"/>
        </w:rPr>
        <w:t>(f)       the refusing party had no reasonable grounds for believing that it would prevail on the matter.</w:t>
      </w:r>
    </w:p>
    <w:p w:rsidR="00BA7DA9" w:rsidRPr="00C813BC" w:rsidRDefault="00BA7DA9" w:rsidP="00BA7DA9">
      <w:pPr>
        <w:shd w:val="clear" w:color="auto" w:fill="FFFFFF"/>
        <w:spacing w:before="240" w:after="240"/>
        <w:ind w:left="1440"/>
        <w:jc w:val="center"/>
        <w:rPr>
          <w:rFonts w:ascii="Arial" w:eastAsia="Times New Roman" w:hAnsi="Arial" w:cs="Arial"/>
          <w:szCs w:val="25"/>
        </w:rPr>
      </w:pPr>
      <w:r w:rsidRPr="00C813BC">
        <w:rPr>
          <w:rFonts w:ascii="Arial" w:eastAsia="Times New Roman" w:hAnsi="Arial" w:cs="Arial"/>
          <w:iCs/>
          <w:szCs w:val="25"/>
        </w:rPr>
        <w:t>…</w:t>
      </w:r>
    </w:p>
    <w:p w:rsidR="00BA7DA9" w:rsidRPr="00C813BC" w:rsidRDefault="00BA7DA9" w:rsidP="00BA7DA9">
      <w:pPr>
        <w:shd w:val="clear" w:color="auto" w:fill="FFFFFF"/>
        <w:spacing w:before="240" w:after="240"/>
        <w:ind w:left="1440"/>
        <w:jc w:val="both"/>
        <w:rPr>
          <w:rFonts w:ascii="Arial" w:eastAsia="Times New Roman" w:hAnsi="Arial" w:cs="Arial"/>
          <w:szCs w:val="25"/>
        </w:rPr>
      </w:pPr>
      <w:r w:rsidRPr="00C813BC">
        <w:rPr>
          <w:rFonts w:ascii="Arial" w:eastAsia="Times New Roman" w:hAnsi="Arial" w:cs="Arial"/>
          <w:iCs/>
          <w:szCs w:val="25"/>
        </w:rPr>
        <w:t>[43]         While the cost consequences of an unreasonable failure to admit are usually confined to the costs of proving the truth of facts or the authenticity of documents, the power conferred by Rule 7-7(4) to penalize a party by awarding additional costs or depriving a party of costs “as the court considers appropriate” suggests that in an appropriate case the court could go further. At the least, it is not outside of contemplation that if the entire trial could have been avoided had reasonable admissions been made (for example, if the originating party could have applied for judgment on admissions under Rule 7-7(6)), the party who unreasonably failed to admit the facts could be penalized by an award of additional costs for all steps taken following delivery of the notice to admit.</w:t>
      </w:r>
    </w:p>
    <w:p w:rsidR="008E7D0E" w:rsidRDefault="008E7D0E" w:rsidP="008E7D0E">
      <w:pPr>
        <w:pStyle w:val="Default"/>
        <w:numPr>
          <w:ilvl w:val="0"/>
          <w:numId w:val="28"/>
        </w:numPr>
        <w:spacing w:after="240"/>
        <w:rPr>
          <w:rFonts w:ascii="Arial" w:hAnsi="Arial" w:cs="Arial"/>
        </w:rPr>
      </w:pPr>
      <w:r w:rsidRPr="00652394">
        <w:rPr>
          <w:rFonts w:ascii="Arial" w:hAnsi="Arial" w:cs="Arial"/>
          <w:b/>
        </w:rPr>
        <w:t>Withdrawing an admission</w:t>
      </w:r>
      <w:r>
        <w:rPr>
          <w:rFonts w:ascii="Arial" w:hAnsi="Arial" w:cs="Arial"/>
        </w:rPr>
        <w:t xml:space="preserve">: </w:t>
      </w:r>
    </w:p>
    <w:p w:rsidR="008E7D0E" w:rsidRDefault="008E7D0E" w:rsidP="008E7D0E">
      <w:pPr>
        <w:pStyle w:val="Default"/>
        <w:numPr>
          <w:ilvl w:val="0"/>
          <w:numId w:val="28"/>
        </w:numPr>
        <w:spacing w:after="240"/>
        <w:rPr>
          <w:rFonts w:ascii="Arial" w:hAnsi="Arial" w:cs="Arial"/>
        </w:rPr>
      </w:pPr>
      <w:r>
        <w:rPr>
          <w:rFonts w:ascii="Arial" w:hAnsi="Arial" w:cs="Arial"/>
        </w:rPr>
        <w:t>Rule 7</w:t>
      </w:r>
      <w:r>
        <w:rPr>
          <w:rFonts w:ascii="Arial" w:hAnsi="Arial" w:cs="Arial"/>
        </w:rPr>
        <w:noBreakHyphen/>
        <w:t>7(5)</w:t>
      </w:r>
    </w:p>
    <w:p w:rsidR="00BA7DA9" w:rsidRPr="00652394" w:rsidRDefault="008E7D0E" w:rsidP="00D90D34">
      <w:pPr>
        <w:pStyle w:val="Default"/>
        <w:numPr>
          <w:ilvl w:val="0"/>
          <w:numId w:val="28"/>
        </w:numPr>
        <w:spacing w:after="240"/>
        <w:rPr>
          <w:rFonts w:ascii="Arial" w:hAnsi="Arial" w:cs="Arial"/>
          <w:u w:val="single"/>
        </w:rPr>
      </w:pPr>
      <w:r w:rsidRPr="00652394">
        <w:rPr>
          <w:rFonts w:ascii="Arial" w:hAnsi="Arial" w:cs="Arial"/>
          <w:u w:val="single"/>
        </w:rPr>
        <w:t xml:space="preserve">see </w:t>
      </w:r>
      <w:proofErr w:type="spellStart"/>
      <w:r w:rsidR="00D90D34" w:rsidRPr="00652394">
        <w:rPr>
          <w:rFonts w:ascii="Arial" w:hAnsi="Arial" w:cs="Arial"/>
          <w:i/>
          <w:u w:val="single"/>
        </w:rPr>
        <w:t>Nagra</w:t>
      </w:r>
      <w:proofErr w:type="spellEnd"/>
      <w:r w:rsidR="00D90D34" w:rsidRPr="00652394">
        <w:rPr>
          <w:rFonts w:ascii="Arial" w:hAnsi="Arial" w:cs="Arial"/>
          <w:i/>
          <w:u w:val="single"/>
        </w:rPr>
        <w:t xml:space="preserve"> v. Cruz</w:t>
      </w:r>
      <w:r w:rsidRPr="00652394">
        <w:rPr>
          <w:rFonts w:ascii="Arial" w:hAnsi="Arial" w:cs="Arial"/>
          <w:i/>
          <w:u w:val="single"/>
        </w:rPr>
        <w:t xml:space="preserve">, </w:t>
      </w:r>
      <w:hyperlink r:id="rId18" w:history="1">
        <w:r w:rsidR="00D90D34" w:rsidRPr="00652394">
          <w:rPr>
            <w:rStyle w:val="Hyperlink"/>
            <w:rFonts w:ascii="Arial" w:hAnsi="Arial" w:cs="Arial"/>
          </w:rPr>
          <w:t>2016 BCSC 2469</w:t>
        </w:r>
      </w:hyperlink>
      <w:r w:rsidR="00D90D34" w:rsidRPr="00652394">
        <w:rPr>
          <w:rFonts w:ascii="Arial" w:hAnsi="Arial" w:cs="Arial"/>
          <w:u w:val="single"/>
        </w:rPr>
        <w:t xml:space="preserve">  (Master Harper):</w:t>
      </w:r>
    </w:p>
    <w:p w:rsidR="00D90D34" w:rsidRPr="00D90D34" w:rsidRDefault="00D90D34" w:rsidP="00D90D34">
      <w:pPr>
        <w:autoSpaceDE w:val="0"/>
        <w:autoSpaceDN w:val="0"/>
        <w:adjustRightInd w:val="0"/>
        <w:spacing w:after="278"/>
        <w:ind w:left="720"/>
        <w:jc w:val="both"/>
        <w:rPr>
          <w:rFonts w:ascii="Arial" w:eastAsiaTheme="minorHAnsi" w:hAnsi="Arial" w:cs="Arial"/>
          <w:color w:val="000000"/>
          <w:sz w:val="23"/>
          <w:szCs w:val="23"/>
        </w:rPr>
      </w:pPr>
      <w:r w:rsidRPr="00D90D34">
        <w:rPr>
          <w:rFonts w:ascii="Arial" w:eastAsiaTheme="minorHAnsi" w:hAnsi="Arial" w:cs="Arial"/>
          <w:color w:val="000000"/>
          <w:sz w:val="23"/>
          <w:szCs w:val="23"/>
        </w:rPr>
        <w:t xml:space="preserve">[4] The application is brought pursuant to Rule 7-7(5) of the </w:t>
      </w:r>
      <w:r w:rsidRPr="00D90D34">
        <w:rPr>
          <w:rFonts w:ascii="Arial" w:eastAsiaTheme="minorHAnsi" w:hAnsi="Arial" w:cs="Arial"/>
          <w:i/>
          <w:iCs/>
          <w:color w:val="000000"/>
          <w:sz w:val="23"/>
          <w:szCs w:val="23"/>
        </w:rPr>
        <w:t>Supreme Court Civil Rules</w:t>
      </w:r>
      <w:r w:rsidRPr="00D90D34">
        <w:rPr>
          <w:rFonts w:ascii="Arial" w:eastAsiaTheme="minorHAnsi" w:hAnsi="Arial" w:cs="Arial"/>
          <w:color w:val="000000"/>
          <w:sz w:val="23"/>
          <w:szCs w:val="23"/>
        </w:rPr>
        <w:t xml:space="preserve">: a party is not entitled to withdraw an admission made in a pleading except by consent or with leave of the court. </w:t>
      </w:r>
    </w:p>
    <w:p w:rsidR="00D90D34" w:rsidRPr="00D90D34" w:rsidRDefault="00D90D34" w:rsidP="00D90D34">
      <w:pPr>
        <w:autoSpaceDE w:val="0"/>
        <w:autoSpaceDN w:val="0"/>
        <w:adjustRightInd w:val="0"/>
        <w:spacing w:after="278"/>
        <w:ind w:left="720"/>
        <w:jc w:val="both"/>
        <w:rPr>
          <w:rFonts w:ascii="Arial" w:eastAsiaTheme="minorHAnsi" w:hAnsi="Arial" w:cs="Arial"/>
          <w:color w:val="000000"/>
          <w:sz w:val="23"/>
          <w:szCs w:val="23"/>
        </w:rPr>
      </w:pPr>
      <w:r w:rsidRPr="00D90D34">
        <w:rPr>
          <w:rFonts w:ascii="Arial" w:eastAsiaTheme="minorHAnsi" w:hAnsi="Arial" w:cs="Arial"/>
          <w:color w:val="000000"/>
          <w:sz w:val="23"/>
          <w:szCs w:val="23"/>
        </w:rPr>
        <w:t xml:space="preserve">[5] The legal test to be applied where leave is sought to withdraw an admission is whether there is a triable issue which should be determined on the merits and not disposed of by an admission of fact. The parties agree that consent is a triable issue, but the analysis does not end there. The overriding factor is whether the interests of justice justify the withdrawal of the admission. The discretion to grant leave to withdraw an admission is broad and unfettered, subject to the discretion being exercised judicially. To that end, the court is required to balance the prejudice that would flow from either refusing or granting leave to withdraw the admission. The exercise of discretion on such an application is highly fact-specific. </w:t>
      </w:r>
    </w:p>
    <w:p w:rsidR="00D90D34" w:rsidRPr="00D90D34" w:rsidRDefault="00D90D34" w:rsidP="00D90D34">
      <w:pPr>
        <w:autoSpaceDE w:val="0"/>
        <w:autoSpaceDN w:val="0"/>
        <w:adjustRightInd w:val="0"/>
        <w:spacing w:after="278"/>
        <w:ind w:left="720"/>
        <w:jc w:val="both"/>
        <w:rPr>
          <w:rFonts w:ascii="Arial" w:eastAsiaTheme="minorHAnsi" w:hAnsi="Arial" w:cs="Arial"/>
          <w:color w:val="000000"/>
          <w:sz w:val="23"/>
          <w:szCs w:val="23"/>
        </w:rPr>
      </w:pPr>
      <w:r w:rsidRPr="00D90D34">
        <w:rPr>
          <w:rFonts w:ascii="Arial" w:eastAsiaTheme="minorHAnsi" w:hAnsi="Arial" w:cs="Arial"/>
          <w:color w:val="000000"/>
          <w:sz w:val="23"/>
          <w:szCs w:val="23"/>
        </w:rPr>
        <w:t xml:space="preserve">[6] The factors that should be considered by the court in determining what result is in the interests of justice are: </w:t>
      </w:r>
    </w:p>
    <w:p w:rsidR="00D90D34" w:rsidRPr="00D90D34" w:rsidRDefault="00D90D34" w:rsidP="00D90D34">
      <w:pPr>
        <w:autoSpaceDE w:val="0"/>
        <w:autoSpaceDN w:val="0"/>
        <w:adjustRightInd w:val="0"/>
        <w:ind w:left="1440"/>
        <w:jc w:val="both"/>
        <w:rPr>
          <w:rFonts w:ascii="Arial" w:eastAsiaTheme="minorHAnsi" w:hAnsi="Arial" w:cs="Arial"/>
          <w:color w:val="000000"/>
          <w:sz w:val="23"/>
          <w:szCs w:val="23"/>
        </w:rPr>
      </w:pPr>
      <w:r w:rsidRPr="00D90D34">
        <w:rPr>
          <w:rFonts w:ascii="Arial" w:eastAsiaTheme="minorHAnsi" w:hAnsi="Arial" w:cs="Arial"/>
          <w:color w:val="000000"/>
          <w:sz w:val="23"/>
          <w:szCs w:val="23"/>
        </w:rPr>
        <w:t xml:space="preserve">a) whether the admission was made inadvertently, hastily or without knowledge of the facts; </w:t>
      </w:r>
    </w:p>
    <w:p w:rsidR="00D90D34" w:rsidRPr="00D90D34" w:rsidRDefault="00D90D34" w:rsidP="00D90D34">
      <w:pPr>
        <w:autoSpaceDE w:val="0"/>
        <w:autoSpaceDN w:val="0"/>
        <w:adjustRightInd w:val="0"/>
        <w:ind w:left="1440"/>
        <w:jc w:val="both"/>
        <w:rPr>
          <w:rFonts w:ascii="Arial" w:eastAsiaTheme="minorHAnsi" w:hAnsi="Arial" w:cs="Arial"/>
          <w:color w:val="000000"/>
        </w:rPr>
      </w:pPr>
    </w:p>
    <w:p w:rsidR="00D90D34" w:rsidRPr="00D90D34" w:rsidRDefault="00D90D34" w:rsidP="00D90D34">
      <w:pPr>
        <w:autoSpaceDE w:val="0"/>
        <w:autoSpaceDN w:val="0"/>
        <w:adjustRightInd w:val="0"/>
        <w:spacing w:after="400"/>
        <w:ind w:left="1440"/>
        <w:jc w:val="both"/>
        <w:rPr>
          <w:rFonts w:ascii="Arial" w:eastAsiaTheme="minorHAnsi" w:hAnsi="Arial" w:cs="Arial"/>
          <w:color w:val="000000"/>
          <w:sz w:val="23"/>
          <w:szCs w:val="23"/>
        </w:rPr>
      </w:pPr>
      <w:r w:rsidRPr="00D90D34">
        <w:rPr>
          <w:rFonts w:ascii="Arial" w:eastAsiaTheme="minorHAnsi" w:hAnsi="Arial" w:cs="Arial"/>
          <w:color w:val="000000"/>
          <w:sz w:val="23"/>
          <w:szCs w:val="23"/>
        </w:rPr>
        <w:t xml:space="preserve">b) whether the fact admitted was or was not within the knowledge of the party making the admission; </w:t>
      </w:r>
    </w:p>
    <w:p w:rsidR="00D90D34" w:rsidRPr="00D90D34" w:rsidRDefault="00D90D34" w:rsidP="00D90D34">
      <w:pPr>
        <w:autoSpaceDE w:val="0"/>
        <w:autoSpaceDN w:val="0"/>
        <w:adjustRightInd w:val="0"/>
        <w:spacing w:after="400"/>
        <w:ind w:left="1440"/>
        <w:jc w:val="both"/>
        <w:rPr>
          <w:rFonts w:ascii="Arial" w:eastAsiaTheme="minorHAnsi" w:hAnsi="Arial" w:cs="Arial"/>
          <w:color w:val="000000"/>
          <w:sz w:val="23"/>
          <w:szCs w:val="23"/>
        </w:rPr>
      </w:pPr>
      <w:r w:rsidRPr="00D90D34">
        <w:rPr>
          <w:rFonts w:ascii="Arial" w:eastAsiaTheme="minorHAnsi" w:hAnsi="Arial" w:cs="Arial"/>
          <w:color w:val="000000"/>
          <w:sz w:val="23"/>
          <w:szCs w:val="23"/>
        </w:rPr>
        <w:t xml:space="preserve">c) where the admission is one of fact, whether it is or may be untrue; </w:t>
      </w:r>
    </w:p>
    <w:p w:rsidR="00D90D34" w:rsidRPr="00D90D34" w:rsidRDefault="00D90D34" w:rsidP="00D90D34">
      <w:pPr>
        <w:autoSpaceDE w:val="0"/>
        <w:autoSpaceDN w:val="0"/>
        <w:adjustRightInd w:val="0"/>
        <w:spacing w:after="400"/>
        <w:ind w:left="1440"/>
        <w:jc w:val="both"/>
        <w:rPr>
          <w:rFonts w:ascii="Arial" w:eastAsiaTheme="minorHAnsi" w:hAnsi="Arial" w:cs="Arial"/>
          <w:color w:val="000000"/>
          <w:sz w:val="23"/>
          <w:szCs w:val="23"/>
        </w:rPr>
      </w:pPr>
      <w:r w:rsidRPr="00D90D34">
        <w:rPr>
          <w:rFonts w:ascii="Arial" w:eastAsiaTheme="minorHAnsi" w:hAnsi="Arial" w:cs="Arial"/>
          <w:color w:val="000000"/>
          <w:sz w:val="23"/>
          <w:szCs w:val="23"/>
        </w:rPr>
        <w:t xml:space="preserve">d) whether and to what extent the withdrawal of the admission would prejudice a party; and </w:t>
      </w:r>
    </w:p>
    <w:p w:rsidR="00D90D34" w:rsidRDefault="00D90D34" w:rsidP="00D90D34">
      <w:pPr>
        <w:autoSpaceDE w:val="0"/>
        <w:autoSpaceDN w:val="0"/>
        <w:adjustRightInd w:val="0"/>
        <w:ind w:left="1440"/>
        <w:jc w:val="both"/>
        <w:rPr>
          <w:rFonts w:ascii="Arial" w:eastAsiaTheme="minorHAnsi" w:hAnsi="Arial" w:cs="Arial"/>
          <w:color w:val="000000"/>
          <w:sz w:val="23"/>
          <w:szCs w:val="23"/>
        </w:rPr>
      </w:pPr>
      <w:r w:rsidRPr="00D90D34">
        <w:rPr>
          <w:rFonts w:ascii="Arial" w:eastAsiaTheme="minorHAnsi" w:hAnsi="Arial" w:cs="Arial"/>
          <w:color w:val="000000"/>
          <w:sz w:val="23"/>
          <w:szCs w:val="23"/>
        </w:rPr>
        <w:t xml:space="preserve">e) whether there has been delay in the application to withdraw the admission and any reason offered for such delay. </w:t>
      </w:r>
    </w:p>
    <w:p w:rsidR="00D90D34" w:rsidRDefault="00D90D34" w:rsidP="00D90D34">
      <w:pPr>
        <w:autoSpaceDE w:val="0"/>
        <w:autoSpaceDN w:val="0"/>
        <w:adjustRightInd w:val="0"/>
        <w:ind w:left="1440"/>
        <w:jc w:val="center"/>
        <w:rPr>
          <w:rFonts w:ascii="Arial" w:eastAsiaTheme="minorHAnsi" w:hAnsi="Arial" w:cs="Arial"/>
          <w:color w:val="000000"/>
          <w:sz w:val="23"/>
          <w:szCs w:val="23"/>
        </w:rPr>
      </w:pPr>
      <w:r>
        <w:rPr>
          <w:rFonts w:ascii="Arial" w:eastAsiaTheme="minorHAnsi" w:hAnsi="Arial" w:cs="Arial"/>
          <w:color w:val="000000"/>
          <w:sz w:val="23"/>
          <w:szCs w:val="23"/>
        </w:rPr>
        <w:t>…</w:t>
      </w:r>
    </w:p>
    <w:p w:rsidR="00D90D34" w:rsidRPr="00D90D34" w:rsidRDefault="00D90D34" w:rsidP="00D90D34">
      <w:pPr>
        <w:autoSpaceDE w:val="0"/>
        <w:autoSpaceDN w:val="0"/>
        <w:adjustRightInd w:val="0"/>
        <w:rPr>
          <w:rFonts w:ascii="Arial" w:eastAsiaTheme="minorHAnsi" w:hAnsi="Arial" w:cs="Arial"/>
          <w:color w:val="000000"/>
        </w:rPr>
      </w:pPr>
    </w:p>
    <w:p w:rsidR="00D90D34" w:rsidRPr="00D90D34" w:rsidRDefault="00D90D34" w:rsidP="00D90D34">
      <w:pPr>
        <w:autoSpaceDE w:val="0"/>
        <w:autoSpaceDN w:val="0"/>
        <w:adjustRightInd w:val="0"/>
        <w:ind w:left="720"/>
        <w:jc w:val="both"/>
        <w:rPr>
          <w:rFonts w:ascii="Arial" w:eastAsiaTheme="minorHAnsi" w:hAnsi="Arial" w:cs="Arial"/>
          <w:color w:val="000000"/>
          <w:sz w:val="23"/>
          <w:szCs w:val="23"/>
        </w:rPr>
      </w:pPr>
      <w:r w:rsidRPr="00D90D34">
        <w:rPr>
          <w:rFonts w:ascii="Arial" w:eastAsiaTheme="minorHAnsi" w:hAnsi="Arial" w:cs="Arial"/>
          <w:color w:val="000000"/>
          <w:sz w:val="23"/>
          <w:szCs w:val="23"/>
        </w:rPr>
        <w:t xml:space="preserve">[32] The possibility of </w:t>
      </w:r>
      <w:proofErr w:type="spellStart"/>
      <w:r w:rsidRPr="00D90D34">
        <w:rPr>
          <w:rFonts w:ascii="Arial" w:eastAsiaTheme="minorHAnsi" w:hAnsi="Arial" w:cs="Arial"/>
          <w:color w:val="000000"/>
          <w:sz w:val="23"/>
          <w:szCs w:val="23"/>
        </w:rPr>
        <w:t>Liwag</w:t>
      </w:r>
      <w:proofErr w:type="spellEnd"/>
      <w:r w:rsidRPr="00D90D34">
        <w:rPr>
          <w:rFonts w:ascii="Arial" w:eastAsiaTheme="minorHAnsi" w:hAnsi="Arial" w:cs="Arial"/>
          <w:color w:val="000000"/>
          <w:sz w:val="23"/>
          <w:szCs w:val="23"/>
        </w:rPr>
        <w:t xml:space="preserve"> or Cruz suing ICBC or </w:t>
      </w:r>
      <w:proofErr w:type="spellStart"/>
      <w:r w:rsidRPr="00D90D34">
        <w:rPr>
          <w:rFonts w:ascii="Arial" w:eastAsiaTheme="minorHAnsi" w:hAnsi="Arial" w:cs="Arial"/>
          <w:color w:val="000000"/>
          <w:sz w:val="23"/>
          <w:szCs w:val="23"/>
        </w:rPr>
        <w:t>defence</w:t>
      </w:r>
      <w:proofErr w:type="spellEnd"/>
      <w:r w:rsidRPr="00D90D34">
        <w:rPr>
          <w:rFonts w:ascii="Arial" w:eastAsiaTheme="minorHAnsi" w:hAnsi="Arial" w:cs="Arial"/>
          <w:color w:val="000000"/>
          <w:sz w:val="23"/>
          <w:szCs w:val="23"/>
        </w:rPr>
        <w:t xml:space="preserve"> counsel who filed the response to civil claim is not a satisfactory approach. The interests of justice are not served by failing to rectify a mistake. The proceeding should be determined on its merits: Rule 1-3(1) of the </w:t>
      </w:r>
      <w:r w:rsidRPr="00D90D34">
        <w:rPr>
          <w:rFonts w:ascii="Arial" w:eastAsiaTheme="minorHAnsi" w:hAnsi="Arial" w:cs="Arial"/>
          <w:i/>
          <w:iCs/>
          <w:color w:val="000000"/>
          <w:sz w:val="23"/>
          <w:szCs w:val="23"/>
        </w:rPr>
        <w:t>Supreme Court Civil Rules</w:t>
      </w:r>
      <w:r w:rsidRPr="00D90D34">
        <w:rPr>
          <w:rFonts w:ascii="Arial" w:eastAsiaTheme="minorHAnsi" w:hAnsi="Arial" w:cs="Arial"/>
          <w:color w:val="000000"/>
          <w:sz w:val="23"/>
          <w:szCs w:val="23"/>
        </w:rPr>
        <w:t xml:space="preserve">. It would be unfair to hold </w:t>
      </w:r>
      <w:proofErr w:type="spellStart"/>
      <w:r w:rsidRPr="00D90D34">
        <w:rPr>
          <w:rFonts w:ascii="Arial" w:eastAsiaTheme="minorHAnsi" w:hAnsi="Arial" w:cs="Arial"/>
          <w:color w:val="000000"/>
          <w:sz w:val="23"/>
          <w:szCs w:val="23"/>
        </w:rPr>
        <w:t>Liwag</w:t>
      </w:r>
      <w:proofErr w:type="spellEnd"/>
      <w:r w:rsidRPr="00D90D34">
        <w:rPr>
          <w:rFonts w:ascii="Arial" w:eastAsiaTheme="minorHAnsi" w:hAnsi="Arial" w:cs="Arial"/>
          <w:color w:val="000000"/>
          <w:sz w:val="23"/>
          <w:szCs w:val="23"/>
        </w:rPr>
        <w:t xml:space="preserve"> personally responsible for a mistake made by ICBC and/or </w:t>
      </w:r>
      <w:proofErr w:type="spellStart"/>
      <w:r w:rsidRPr="00D90D34">
        <w:rPr>
          <w:rFonts w:ascii="Arial" w:eastAsiaTheme="minorHAnsi" w:hAnsi="Arial" w:cs="Arial"/>
          <w:color w:val="000000"/>
          <w:sz w:val="23"/>
          <w:szCs w:val="23"/>
        </w:rPr>
        <w:t>defence</w:t>
      </w:r>
      <w:proofErr w:type="spellEnd"/>
      <w:r w:rsidRPr="00D90D34">
        <w:rPr>
          <w:rFonts w:ascii="Arial" w:eastAsiaTheme="minorHAnsi" w:hAnsi="Arial" w:cs="Arial"/>
          <w:color w:val="000000"/>
          <w:sz w:val="23"/>
          <w:szCs w:val="23"/>
        </w:rPr>
        <w:t xml:space="preserve"> counsel. </w:t>
      </w:r>
    </w:p>
    <w:p w:rsidR="00D90D34" w:rsidRDefault="00D90D34" w:rsidP="00D90D34">
      <w:pPr>
        <w:autoSpaceDE w:val="0"/>
        <w:autoSpaceDN w:val="0"/>
        <w:adjustRightInd w:val="0"/>
        <w:ind w:left="720"/>
        <w:jc w:val="both"/>
        <w:rPr>
          <w:rFonts w:ascii="Arial" w:eastAsiaTheme="minorHAnsi" w:hAnsi="Arial" w:cs="Arial"/>
          <w:color w:val="000000"/>
          <w:sz w:val="23"/>
          <w:szCs w:val="23"/>
        </w:rPr>
      </w:pPr>
    </w:p>
    <w:p w:rsidR="00D90D34" w:rsidRPr="00652394" w:rsidRDefault="00D90D34" w:rsidP="00D90D34">
      <w:pPr>
        <w:autoSpaceDE w:val="0"/>
        <w:autoSpaceDN w:val="0"/>
        <w:adjustRightInd w:val="0"/>
        <w:ind w:left="720"/>
        <w:jc w:val="both"/>
        <w:rPr>
          <w:rFonts w:ascii="Arial" w:hAnsi="Arial" w:cs="Arial"/>
          <w:u w:val="single"/>
        </w:rPr>
      </w:pPr>
      <w:r w:rsidRPr="00652394">
        <w:rPr>
          <w:rFonts w:ascii="Arial" w:eastAsiaTheme="minorHAnsi" w:hAnsi="Arial" w:cs="Arial"/>
          <w:color w:val="000000"/>
          <w:sz w:val="23"/>
          <w:szCs w:val="23"/>
          <w:u w:val="single"/>
        </w:rPr>
        <w:t xml:space="preserve">Affirmed by </w:t>
      </w:r>
      <w:proofErr w:type="spellStart"/>
      <w:r w:rsidRPr="00652394">
        <w:rPr>
          <w:rFonts w:ascii="Arial" w:eastAsiaTheme="minorHAnsi" w:hAnsi="Arial" w:cs="Arial"/>
          <w:color w:val="000000"/>
          <w:sz w:val="23"/>
          <w:szCs w:val="23"/>
          <w:u w:val="single"/>
        </w:rPr>
        <w:t>Abrioux</w:t>
      </w:r>
      <w:proofErr w:type="spellEnd"/>
      <w:r w:rsidRPr="00652394">
        <w:rPr>
          <w:rFonts w:ascii="Arial" w:eastAsiaTheme="minorHAnsi" w:hAnsi="Arial" w:cs="Arial"/>
          <w:color w:val="000000"/>
          <w:sz w:val="23"/>
          <w:szCs w:val="23"/>
          <w:u w:val="single"/>
        </w:rPr>
        <w:t xml:space="preserve">, J (as he then was) in </w:t>
      </w:r>
      <w:hyperlink r:id="rId19" w:history="1">
        <w:r w:rsidRPr="00652394">
          <w:rPr>
            <w:rStyle w:val="Hyperlink"/>
            <w:rFonts w:ascii="Arial" w:hAnsi="Arial" w:cs="Arial"/>
          </w:rPr>
          <w:t>2017 BCSC 347</w:t>
        </w:r>
      </w:hyperlink>
      <w:r w:rsidRPr="00652394">
        <w:rPr>
          <w:rFonts w:ascii="Arial" w:hAnsi="Arial" w:cs="Arial"/>
          <w:u w:val="single"/>
        </w:rPr>
        <w:t>:</w:t>
      </w:r>
    </w:p>
    <w:p w:rsidR="00D90D34" w:rsidRDefault="00D90D34" w:rsidP="00D90D34">
      <w:pPr>
        <w:autoSpaceDE w:val="0"/>
        <w:autoSpaceDN w:val="0"/>
        <w:adjustRightInd w:val="0"/>
        <w:ind w:left="720"/>
        <w:jc w:val="both"/>
        <w:rPr>
          <w:rFonts w:ascii="Arial" w:eastAsiaTheme="minorHAnsi" w:hAnsi="Arial" w:cs="Arial"/>
          <w:color w:val="000000"/>
          <w:sz w:val="23"/>
          <w:szCs w:val="23"/>
        </w:rPr>
      </w:pPr>
    </w:p>
    <w:p w:rsidR="00D90D34" w:rsidRPr="00D90D34" w:rsidRDefault="00D90D34" w:rsidP="00D90D34">
      <w:pPr>
        <w:autoSpaceDE w:val="0"/>
        <w:autoSpaceDN w:val="0"/>
        <w:adjustRightInd w:val="0"/>
        <w:spacing w:after="400"/>
        <w:ind w:left="720"/>
        <w:jc w:val="both"/>
        <w:rPr>
          <w:rFonts w:ascii="Arial" w:eastAsiaTheme="minorHAnsi" w:hAnsi="Arial" w:cs="Arial"/>
          <w:color w:val="000000"/>
          <w:sz w:val="23"/>
          <w:szCs w:val="23"/>
        </w:rPr>
      </w:pPr>
      <w:r w:rsidRPr="00D90D34">
        <w:rPr>
          <w:rFonts w:ascii="Arial" w:eastAsiaTheme="minorHAnsi" w:hAnsi="Arial" w:cs="Arial"/>
          <w:color w:val="000000"/>
          <w:sz w:val="23"/>
          <w:szCs w:val="23"/>
        </w:rPr>
        <w:t xml:space="preserve">[69] In my view, the Master was not clearly wrong in concluding that a balancing of potential prejudices </w:t>
      </w:r>
      <w:proofErr w:type="spellStart"/>
      <w:r w:rsidRPr="00D90D34">
        <w:rPr>
          <w:rFonts w:ascii="Arial" w:eastAsiaTheme="minorHAnsi" w:hAnsi="Arial" w:cs="Arial"/>
          <w:color w:val="000000"/>
          <w:sz w:val="23"/>
          <w:szCs w:val="23"/>
        </w:rPr>
        <w:t>favoured</w:t>
      </w:r>
      <w:proofErr w:type="spellEnd"/>
      <w:r w:rsidRPr="00D90D34">
        <w:rPr>
          <w:rFonts w:ascii="Arial" w:eastAsiaTheme="minorHAnsi" w:hAnsi="Arial" w:cs="Arial"/>
          <w:color w:val="000000"/>
          <w:sz w:val="23"/>
          <w:szCs w:val="23"/>
        </w:rPr>
        <w:t xml:space="preserve"> </w:t>
      </w:r>
      <w:proofErr w:type="spellStart"/>
      <w:r w:rsidRPr="00D90D34">
        <w:rPr>
          <w:rFonts w:ascii="Arial" w:eastAsiaTheme="minorHAnsi" w:hAnsi="Arial" w:cs="Arial"/>
          <w:color w:val="000000"/>
          <w:sz w:val="23"/>
          <w:szCs w:val="23"/>
        </w:rPr>
        <w:t>Liwag</w:t>
      </w:r>
      <w:proofErr w:type="spellEnd"/>
      <w:r w:rsidRPr="00D90D34">
        <w:rPr>
          <w:rFonts w:ascii="Arial" w:eastAsiaTheme="minorHAnsi" w:hAnsi="Arial" w:cs="Arial"/>
          <w:color w:val="000000"/>
          <w:sz w:val="23"/>
          <w:szCs w:val="23"/>
        </w:rPr>
        <w:t xml:space="preserve">. There is clearly a triable issue pertaining to </w:t>
      </w:r>
      <w:proofErr w:type="spellStart"/>
      <w:r w:rsidRPr="00D90D34">
        <w:rPr>
          <w:rFonts w:ascii="Arial" w:eastAsiaTheme="minorHAnsi" w:hAnsi="Arial" w:cs="Arial"/>
          <w:color w:val="000000"/>
          <w:sz w:val="23"/>
          <w:szCs w:val="23"/>
        </w:rPr>
        <w:t>Liwag’s</w:t>
      </w:r>
      <w:proofErr w:type="spellEnd"/>
      <w:r w:rsidRPr="00D90D34">
        <w:rPr>
          <w:rFonts w:ascii="Arial" w:eastAsiaTheme="minorHAnsi" w:hAnsi="Arial" w:cs="Arial"/>
          <w:color w:val="000000"/>
          <w:sz w:val="23"/>
          <w:szCs w:val="23"/>
        </w:rPr>
        <w:t xml:space="preserve"> alleged consent and if the admission is not withdrawn, then he is conclusively vicariously liable for Cruz’s admitted negligence and may well face personal exposure for an amount well in excess of his $1 million third party policy limits. </w:t>
      </w:r>
    </w:p>
    <w:p w:rsidR="00D90D34" w:rsidRPr="00D90D34" w:rsidRDefault="00D90D34" w:rsidP="00D90D34">
      <w:pPr>
        <w:autoSpaceDE w:val="0"/>
        <w:autoSpaceDN w:val="0"/>
        <w:adjustRightInd w:val="0"/>
        <w:ind w:left="720"/>
        <w:jc w:val="both"/>
        <w:rPr>
          <w:rFonts w:ascii="Arial" w:eastAsiaTheme="minorHAnsi" w:hAnsi="Arial" w:cs="Arial"/>
          <w:color w:val="000000"/>
          <w:sz w:val="23"/>
          <w:szCs w:val="23"/>
        </w:rPr>
      </w:pPr>
      <w:r w:rsidRPr="00D90D34">
        <w:rPr>
          <w:rFonts w:ascii="Arial" w:eastAsiaTheme="minorHAnsi" w:hAnsi="Arial" w:cs="Arial"/>
          <w:color w:val="000000"/>
          <w:sz w:val="23"/>
          <w:szCs w:val="23"/>
        </w:rPr>
        <w:t xml:space="preserve">[70] Any potential prejudice to the plaintiff can likely be remedied by the costs order which was made. </w:t>
      </w:r>
    </w:p>
    <w:p w:rsidR="00D90D34" w:rsidRPr="00D90D34" w:rsidRDefault="00D90D34" w:rsidP="00D90D34">
      <w:pPr>
        <w:autoSpaceDE w:val="0"/>
        <w:autoSpaceDN w:val="0"/>
        <w:adjustRightInd w:val="0"/>
        <w:ind w:left="720"/>
        <w:jc w:val="both"/>
        <w:rPr>
          <w:rFonts w:ascii="Arial" w:eastAsiaTheme="minorHAnsi" w:hAnsi="Arial" w:cs="Arial"/>
          <w:color w:val="000000"/>
        </w:rPr>
      </w:pPr>
    </w:p>
    <w:p w:rsidR="00D90D34" w:rsidRPr="00D90D34" w:rsidRDefault="00D90D34" w:rsidP="00D90D34">
      <w:pPr>
        <w:autoSpaceDE w:val="0"/>
        <w:autoSpaceDN w:val="0"/>
        <w:adjustRightInd w:val="0"/>
        <w:ind w:left="720"/>
        <w:jc w:val="both"/>
        <w:rPr>
          <w:rFonts w:ascii="Arial" w:eastAsiaTheme="minorHAnsi" w:hAnsi="Arial" w:cs="Arial"/>
          <w:color w:val="000000"/>
          <w:sz w:val="23"/>
          <w:szCs w:val="23"/>
        </w:rPr>
      </w:pPr>
      <w:r w:rsidRPr="00D90D34">
        <w:rPr>
          <w:rFonts w:ascii="Arial" w:eastAsiaTheme="minorHAnsi" w:hAnsi="Arial" w:cs="Arial"/>
          <w:color w:val="000000"/>
          <w:sz w:val="23"/>
          <w:szCs w:val="23"/>
        </w:rPr>
        <w:t xml:space="preserve">[71] The overriding factor is whether, taking the interests of justice into account, there is a triable issue which should be determined on the merits, and not disposed of by an admission of fact. </w:t>
      </w:r>
    </w:p>
    <w:p w:rsidR="00D90D34" w:rsidRPr="00D90D34" w:rsidRDefault="00D90D34" w:rsidP="00D90D34">
      <w:pPr>
        <w:autoSpaceDE w:val="0"/>
        <w:autoSpaceDN w:val="0"/>
        <w:adjustRightInd w:val="0"/>
        <w:ind w:left="720"/>
        <w:jc w:val="both"/>
        <w:rPr>
          <w:rFonts w:ascii="Arial" w:eastAsiaTheme="minorHAnsi" w:hAnsi="Arial" w:cs="Arial"/>
          <w:color w:val="000000"/>
          <w:sz w:val="23"/>
          <w:szCs w:val="23"/>
        </w:rPr>
      </w:pPr>
    </w:p>
    <w:sectPr w:rsidR="00D90D34" w:rsidRPr="00D90D3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32A" w:rsidRDefault="00C2132A" w:rsidP="00C2132A">
      <w:r>
        <w:separator/>
      </w:r>
    </w:p>
  </w:endnote>
  <w:endnote w:type="continuationSeparator" w:id="0">
    <w:p w:rsidR="00C2132A" w:rsidRDefault="00C2132A"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482569"/>
      <w:docPartObj>
        <w:docPartGallery w:val="Page Numbers (Bottom of Page)"/>
        <w:docPartUnique/>
      </w:docPartObj>
    </w:sdtPr>
    <w:sdtEndPr>
      <w:rPr>
        <w:noProof/>
      </w:rPr>
    </w:sdtEndPr>
    <w:sdtContent>
      <w:p w:rsidR="00C2132A" w:rsidRDefault="00C2132A">
        <w:pPr>
          <w:pStyle w:val="Footer"/>
          <w:jc w:val="center"/>
        </w:pPr>
        <w:r>
          <w:fldChar w:fldCharType="begin"/>
        </w:r>
        <w:r>
          <w:instrText xml:space="preserve"> PAGE   \* MERGEFORMAT </w:instrText>
        </w:r>
        <w:r>
          <w:fldChar w:fldCharType="separate"/>
        </w:r>
        <w:r w:rsidR="00461717">
          <w:rPr>
            <w:noProof/>
          </w:rPr>
          <w:t>2</w:t>
        </w:r>
        <w:r>
          <w:rPr>
            <w:noProof/>
          </w:rPr>
          <w:fldChar w:fldCharType="end"/>
        </w:r>
      </w:p>
    </w:sdtContent>
  </w:sdt>
  <w:p w:rsidR="00C2132A" w:rsidRDefault="00C21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32A" w:rsidRDefault="00C2132A" w:rsidP="00C2132A">
      <w:r>
        <w:separator/>
      </w:r>
    </w:p>
  </w:footnote>
  <w:footnote w:type="continuationSeparator" w:id="0">
    <w:p w:rsidR="00C2132A" w:rsidRDefault="00C2132A" w:rsidP="00C2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31FC"/>
    <w:multiLevelType w:val="hybridMultilevel"/>
    <w:tmpl w:val="9A1A4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D03F6"/>
    <w:multiLevelType w:val="hybridMultilevel"/>
    <w:tmpl w:val="2850CE1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316B95"/>
    <w:multiLevelType w:val="hybridMultilevel"/>
    <w:tmpl w:val="40A2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A03E7"/>
    <w:multiLevelType w:val="hybridMultilevel"/>
    <w:tmpl w:val="DE40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0375"/>
    <w:multiLevelType w:val="hybridMultilevel"/>
    <w:tmpl w:val="B44E923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8A65A8"/>
    <w:multiLevelType w:val="hybridMultilevel"/>
    <w:tmpl w:val="6ACC9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402965"/>
    <w:multiLevelType w:val="hybridMultilevel"/>
    <w:tmpl w:val="739EE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B932C1"/>
    <w:multiLevelType w:val="hybridMultilevel"/>
    <w:tmpl w:val="C010DF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7B6FD2"/>
    <w:multiLevelType w:val="hybridMultilevel"/>
    <w:tmpl w:val="D2CEC82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53155"/>
    <w:multiLevelType w:val="hybridMultilevel"/>
    <w:tmpl w:val="A6A8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473A0"/>
    <w:multiLevelType w:val="multilevel"/>
    <w:tmpl w:val="FDB0F61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F0506A8"/>
    <w:multiLevelType w:val="multilevel"/>
    <w:tmpl w:val="FDB0F61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0C11D05"/>
    <w:multiLevelType w:val="hybridMultilevel"/>
    <w:tmpl w:val="1EBE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1549F"/>
    <w:multiLevelType w:val="hybridMultilevel"/>
    <w:tmpl w:val="584A9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80C3B"/>
    <w:multiLevelType w:val="hybridMultilevel"/>
    <w:tmpl w:val="BF2A6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472E6B"/>
    <w:multiLevelType w:val="hybridMultilevel"/>
    <w:tmpl w:val="0E22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B4916"/>
    <w:multiLevelType w:val="hybridMultilevel"/>
    <w:tmpl w:val="32E4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94024"/>
    <w:multiLevelType w:val="hybridMultilevel"/>
    <w:tmpl w:val="9C8402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4FB75D0"/>
    <w:multiLevelType w:val="multilevel"/>
    <w:tmpl w:val="D98A1A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12F1FF1"/>
    <w:multiLevelType w:val="hybridMultilevel"/>
    <w:tmpl w:val="1B60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E27CA"/>
    <w:multiLevelType w:val="hybridMultilevel"/>
    <w:tmpl w:val="3558BBA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670D3635"/>
    <w:multiLevelType w:val="hybridMultilevel"/>
    <w:tmpl w:val="99BAE0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B4F0EED"/>
    <w:multiLevelType w:val="hybridMultilevel"/>
    <w:tmpl w:val="860CE5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FD336F2"/>
    <w:multiLevelType w:val="hybridMultilevel"/>
    <w:tmpl w:val="3AB22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27080"/>
    <w:multiLevelType w:val="hybridMultilevel"/>
    <w:tmpl w:val="1BD88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02B8B"/>
    <w:multiLevelType w:val="hybridMultilevel"/>
    <w:tmpl w:val="758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829F3"/>
    <w:multiLevelType w:val="hybridMultilevel"/>
    <w:tmpl w:val="31D63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C811DF"/>
    <w:multiLevelType w:val="hybridMultilevel"/>
    <w:tmpl w:val="4FCCC3DC"/>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7"/>
  </w:num>
  <w:num w:numId="4">
    <w:abstractNumId w:val="27"/>
  </w:num>
  <w:num w:numId="5">
    <w:abstractNumId w:val="4"/>
  </w:num>
  <w:num w:numId="6">
    <w:abstractNumId w:val="7"/>
  </w:num>
  <w:num w:numId="7">
    <w:abstractNumId w:val="9"/>
  </w:num>
  <w:num w:numId="8">
    <w:abstractNumId w:val="25"/>
  </w:num>
  <w:num w:numId="9">
    <w:abstractNumId w:val="3"/>
  </w:num>
  <w:num w:numId="10">
    <w:abstractNumId w:val="26"/>
  </w:num>
  <w:num w:numId="11">
    <w:abstractNumId w:val="12"/>
  </w:num>
  <w:num w:numId="12">
    <w:abstractNumId w:val="14"/>
  </w:num>
  <w:num w:numId="13">
    <w:abstractNumId w:val="20"/>
  </w:num>
  <w:num w:numId="14">
    <w:abstractNumId w:val="13"/>
  </w:num>
  <w:num w:numId="15">
    <w:abstractNumId w:val="23"/>
  </w:num>
  <w:num w:numId="16">
    <w:abstractNumId w:val="0"/>
  </w:num>
  <w:num w:numId="17">
    <w:abstractNumId w:val="8"/>
  </w:num>
  <w:num w:numId="18">
    <w:abstractNumId w:val="6"/>
  </w:num>
  <w:num w:numId="19">
    <w:abstractNumId w:val="19"/>
  </w:num>
  <w:num w:numId="20">
    <w:abstractNumId w:val="21"/>
  </w:num>
  <w:num w:numId="21">
    <w:abstractNumId w:val="24"/>
  </w:num>
  <w:num w:numId="22">
    <w:abstractNumId w:val="11"/>
  </w:num>
  <w:num w:numId="23">
    <w:abstractNumId w:val="10"/>
  </w:num>
  <w:num w:numId="24">
    <w:abstractNumId w:val="22"/>
  </w:num>
  <w:num w:numId="25">
    <w:abstractNumId w:val="5"/>
  </w:num>
  <w:num w:numId="26">
    <w:abstractNumId w:val="2"/>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2A"/>
    <w:rsid w:val="00034B91"/>
    <w:rsid w:val="00052848"/>
    <w:rsid w:val="0007331A"/>
    <w:rsid w:val="00076C59"/>
    <w:rsid w:val="00096C43"/>
    <w:rsid w:val="00152CF8"/>
    <w:rsid w:val="00196F19"/>
    <w:rsid w:val="002049F4"/>
    <w:rsid w:val="00216C88"/>
    <w:rsid w:val="002A4C5C"/>
    <w:rsid w:val="002F17FD"/>
    <w:rsid w:val="003570DB"/>
    <w:rsid w:val="00400072"/>
    <w:rsid w:val="00440BEE"/>
    <w:rsid w:val="004502C3"/>
    <w:rsid w:val="00461717"/>
    <w:rsid w:val="004B4011"/>
    <w:rsid w:val="004F616A"/>
    <w:rsid w:val="005B4F21"/>
    <w:rsid w:val="005E020D"/>
    <w:rsid w:val="00652394"/>
    <w:rsid w:val="007154A5"/>
    <w:rsid w:val="007E4C65"/>
    <w:rsid w:val="00883011"/>
    <w:rsid w:val="008B24D6"/>
    <w:rsid w:val="008E3599"/>
    <w:rsid w:val="008E6982"/>
    <w:rsid w:val="008E7D0E"/>
    <w:rsid w:val="00907717"/>
    <w:rsid w:val="00966D70"/>
    <w:rsid w:val="009734EF"/>
    <w:rsid w:val="00A4673F"/>
    <w:rsid w:val="00AD1167"/>
    <w:rsid w:val="00BA7DA9"/>
    <w:rsid w:val="00BB2940"/>
    <w:rsid w:val="00C2132A"/>
    <w:rsid w:val="00C44248"/>
    <w:rsid w:val="00C76C1B"/>
    <w:rsid w:val="00C813BC"/>
    <w:rsid w:val="00D22644"/>
    <w:rsid w:val="00D90D34"/>
    <w:rsid w:val="00DE50F8"/>
    <w:rsid w:val="00E578F3"/>
    <w:rsid w:val="00EC3719"/>
    <w:rsid w:val="00ED01DA"/>
    <w:rsid w:val="00F06EF4"/>
    <w:rsid w:val="00F5371A"/>
    <w:rsid w:val="00F877BE"/>
    <w:rsid w:val="00FA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22A4"/>
  <w15:chartTrackingRefBased/>
  <w15:docId w15:val="{2F468BDB-3F1A-4870-BC5B-67394566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2A"/>
    <w:pPr>
      <w:spacing w:after="0" w:line="240" w:lineRule="auto"/>
    </w:pPr>
    <w:rPr>
      <w:rFonts w:eastAsiaTheme="minorEastAsia"/>
      <w:sz w:val="24"/>
      <w:szCs w:val="24"/>
    </w:rPr>
  </w:style>
  <w:style w:type="paragraph" w:styleId="Heading4">
    <w:name w:val="heading 4"/>
    <w:basedOn w:val="Normal"/>
    <w:link w:val="Heading4Char"/>
    <w:uiPriority w:val="9"/>
    <w:qFormat/>
    <w:rsid w:val="004B4011"/>
    <w:pPr>
      <w:spacing w:before="360" w:line="288" w:lineRule="atLeast"/>
      <w:outlineLvl w:val="3"/>
    </w:pPr>
    <w:rPr>
      <w:rFonts w:ascii="Times New Roman" w:eastAsia="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132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2132A"/>
    <w:pPr>
      <w:ind w:left="720"/>
      <w:contextualSpacing/>
    </w:pPr>
  </w:style>
  <w:style w:type="character" w:styleId="Hyperlink">
    <w:name w:val="Hyperlink"/>
    <w:basedOn w:val="DefaultParagraphFont"/>
    <w:uiPriority w:val="99"/>
    <w:unhideWhenUsed/>
    <w:rsid w:val="00C2132A"/>
    <w:rPr>
      <w:color w:val="0563C1" w:themeColor="hyperlink"/>
      <w:u w:val="single"/>
    </w:rPr>
  </w:style>
  <w:style w:type="paragraph" w:customStyle="1" w:styleId="scjnumber">
    <w:name w:val="scjnumber"/>
    <w:basedOn w:val="Normal"/>
    <w:rsid w:val="00C2132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2132A"/>
  </w:style>
  <w:style w:type="paragraph" w:customStyle="1" w:styleId="scjquote">
    <w:name w:val="scjquote"/>
    <w:basedOn w:val="Normal"/>
    <w:rsid w:val="00C2132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2132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2132A"/>
    <w:rPr>
      <w:i/>
      <w:iCs/>
    </w:rPr>
  </w:style>
  <w:style w:type="paragraph" w:styleId="Title">
    <w:name w:val="Title"/>
    <w:basedOn w:val="Normal"/>
    <w:link w:val="TitleChar"/>
    <w:uiPriority w:val="99"/>
    <w:qFormat/>
    <w:rsid w:val="00C2132A"/>
    <w:pPr>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C2132A"/>
    <w:rPr>
      <w:rFonts w:ascii="Arial" w:eastAsia="Times New Roman" w:hAnsi="Arial" w:cs="Arial"/>
      <w:b/>
      <w:sz w:val="36"/>
      <w:szCs w:val="20"/>
    </w:rPr>
  </w:style>
  <w:style w:type="table" w:styleId="TableGrid">
    <w:name w:val="Table Grid"/>
    <w:basedOn w:val="TableNormal"/>
    <w:uiPriority w:val="59"/>
    <w:rsid w:val="00C2132A"/>
    <w:pPr>
      <w:spacing w:after="0" w:line="240" w:lineRule="auto"/>
    </w:pPr>
    <w:rPr>
      <w:rFonts w:ascii="Times New Roman" w:eastAsiaTheme="minorEastAsia"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132A"/>
    <w:pPr>
      <w:tabs>
        <w:tab w:val="center" w:pos="4680"/>
        <w:tab w:val="right" w:pos="9360"/>
      </w:tabs>
    </w:pPr>
  </w:style>
  <w:style w:type="character" w:customStyle="1" w:styleId="HeaderChar">
    <w:name w:val="Header Char"/>
    <w:basedOn w:val="DefaultParagraphFont"/>
    <w:link w:val="Header"/>
    <w:uiPriority w:val="99"/>
    <w:rsid w:val="00C2132A"/>
    <w:rPr>
      <w:rFonts w:eastAsiaTheme="minorEastAsia"/>
      <w:sz w:val="24"/>
      <w:szCs w:val="24"/>
    </w:rPr>
  </w:style>
  <w:style w:type="paragraph" w:styleId="Footer">
    <w:name w:val="footer"/>
    <w:basedOn w:val="Normal"/>
    <w:link w:val="FooterChar"/>
    <w:uiPriority w:val="99"/>
    <w:unhideWhenUsed/>
    <w:rsid w:val="00C2132A"/>
    <w:pPr>
      <w:tabs>
        <w:tab w:val="center" w:pos="4680"/>
        <w:tab w:val="right" w:pos="9360"/>
      </w:tabs>
    </w:pPr>
  </w:style>
  <w:style w:type="character" w:customStyle="1" w:styleId="FooterChar">
    <w:name w:val="Footer Char"/>
    <w:basedOn w:val="DefaultParagraphFont"/>
    <w:link w:val="Footer"/>
    <w:uiPriority w:val="99"/>
    <w:rsid w:val="00C2132A"/>
    <w:rPr>
      <w:rFonts w:eastAsiaTheme="minorEastAsia"/>
      <w:sz w:val="24"/>
      <w:szCs w:val="24"/>
    </w:rPr>
  </w:style>
  <w:style w:type="paragraph" w:customStyle="1" w:styleId="scjnormal">
    <w:name w:val="scjnormal"/>
    <w:basedOn w:val="Normal"/>
    <w:rsid w:val="004502C3"/>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rsid w:val="004B4011"/>
    <w:rPr>
      <w:rFonts w:ascii="Times New Roman" w:eastAsia="Times New Roman" w:hAnsi="Times New Roman" w:cs="Times New Roman"/>
      <w:b/>
      <w:bCs/>
      <w:color w:val="000000"/>
      <w:sz w:val="24"/>
      <w:szCs w:val="24"/>
    </w:rPr>
  </w:style>
  <w:style w:type="paragraph" w:customStyle="1" w:styleId="para">
    <w:name w:val="para"/>
    <w:basedOn w:val="Normal"/>
    <w:rsid w:val="004B4011"/>
    <w:pPr>
      <w:spacing w:before="120" w:line="360" w:lineRule="atLeast"/>
      <w:ind w:left="2640"/>
    </w:pPr>
    <w:rPr>
      <w:rFonts w:ascii="Times New Roman" w:eastAsia="Times New Roman" w:hAnsi="Times New Roman" w:cs="Times New Roman"/>
      <w:color w:val="000000"/>
    </w:rPr>
  </w:style>
  <w:style w:type="paragraph" w:customStyle="1" w:styleId="sub">
    <w:name w:val="sub"/>
    <w:basedOn w:val="Normal"/>
    <w:rsid w:val="004B4011"/>
    <w:pPr>
      <w:spacing w:before="144" w:line="360" w:lineRule="atLeast"/>
      <w:ind w:left="1536"/>
    </w:pPr>
    <w:rPr>
      <w:rFonts w:ascii="Times New Roman" w:eastAsia="Times New Roman" w:hAnsi="Times New Roman" w:cs="Times New Roman"/>
      <w:color w:val="000000"/>
    </w:rPr>
  </w:style>
  <w:style w:type="paragraph" w:customStyle="1" w:styleId="sec">
    <w:name w:val="sec"/>
    <w:basedOn w:val="Normal"/>
    <w:rsid w:val="004B4011"/>
    <w:pPr>
      <w:spacing w:before="120" w:line="360" w:lineRule="atLeast"/>
      <w:ind w:left="1560"/>
    </w:pPr>
    <w:rPr>
      <w:rFonts w:ascii="Times New Roman" w:eastAsia="Times New Roman" w:hAnsi="Times New Roman" w:cs="Times New Roman"/>
      <w:color w:val="000000"/>
    </w:rPr>
  </w:style>
  <w:style w:type="paragraph" w:customStyle="1" w:styleId="def">
    <w:name w:val="def"/>
    <w:basedOn w:val="Normal"/>
    <w:rsid w:val="004B4011"/>
    <w:pPr>
      <w:spacing w:before="168" w:after="168" w:line="360" w:lineRule="atLeast"/>
      <w:ind w:left="1560" w:hanging="600"/>
    </w:pPr>
    <w:rPr>
      <w:rFonts w:ascii="Times New Roman" w:eastAsia="Times New Roman" w:hAnsi="Times New Roman" w:cs="Times New Roman"/>
      <w:color w:val="000000"/>
    </w:rPr>
  </w:style>
  <w:style w:type="character" w:customStyle="1" w:styleId="secnumholder">
    <w:name w:val="secnumholder"/>
    <w:basedOn w:val="DefaultParagraphFont"/>
    <w:rsid w:val="004B4011"/>
  </w:style>
  <w:style w:type="character" w:customStyle="1" w:styleId="holder6">
    <w:name w:val="holder6"/>
    <w:basedOn w:val="DefaultParagraphFont"/>
    <w:rsid w:val="004B4011"/>
  </w:style>
  <w:style w:type="character" w:customStyle="1" w:styleId="holder7">
    <w:name w:val="holder7"/>
    <w:basedOn w:val="DefaultParagraphFont"/>
    <w:rsid w:val="004B4011"/>
  </w:style>
  <w:style w:type="character" w:customStyle="1" w:styleId="normal-bold-style1">
    <w:name w:val="normal-bold-style1"/>
    <w:basedOn w:val="DefaultParagraphFont"/>
    <w:rsid w:val="004B4011"/>
    <w:rPr>
      <w:b/>
      <w:bCs/>
      <w:i w:val="0"/>
      <w:iCs w:val="0"/>
    </w:rPr>
  </w:style>
  <w:style w:type="paragraph" w:customStyle="1" w:styleId="SCJQuote0">
    <w:name w:val="SCJ Quote"/>
    <w:basedOn w:val="Normal"/>
    <w:rsid w:val="008E7D0E"/>
    <w:pPr>
      <w:spacing w:after="120"/>
      <w:ind w:left="720" w:right="720"/>
    </w:pPr>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97046">
      <w:bodyDiv w:val="1"/>
      <w:marLeft w:val="24"/>
      <w:marRight w:val="720"/>
      <w:marTop w:val="240"/>
      <w:marBottom w:val="0"/>
      <w:divBdr>
        <w:top w:val="none" w:sz="0" w:space="0" w:color="auto"/>
        <w:left w:val="none" w:sz="0" w:space="0" w:color="auto"/>
        <w:bottom w:val="none" w:sz="0" w:space="0" w:color="auto"/>
        <w:right w:val="none" w:sz="0" w:space="0" w:color="auto"/>
      </w:divBdr>
      <w:divsChild>
        <w:div w:id="1362971026">
          <w:marLeft w:val="0"/>
          <w:marRight w:val="0"/>
          <w:marTop w:val="600"/>
          <w:marBottom w:val="0"/>
          <w:divBdr>
            <w:top w:val="none" w:sz="0" w:space="0" w:color="auto"/>
            <w:left w:val="none" w:sz="0" w:space="0" w:color="auto"/>
            <w:bottom w:val="none" w:sz="0" w:space="0" w:color="auto"/>
            <w:right w:val="none" w:sz="0" w:space="0" w:color="auto"/>
          </w:divBdr>
          <w:divsChild>
            <w:div w:id="3272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49866">
      <w:bodyDiv w:val="1"/>
      <w:marLeft w:val="24"/>
      <w:marRight w:val="720"/>
      <w:marTop w:val="240"/>
      <w:marBottom w:val="0"/>
      <w:divBdr>
        <w:top w:val="none" w:sz="0" w:space="0" w:color="auto"/>
        <w:left w:val="none" w:sz="0" w:space="0" w:color="auto"/>
        <w:bottom w:val="none" w:sz="0" w:space="0" w:color="auto"/>
        <w:right w:val="none" w:sz="0" w:space="0" w:color="auto"/>
      </w:divBdr>
      <w:divsChild>
        <w:div w:id="1228690779">
          <w:marLeft w:val="0"/>
          <w:marRight w:val="0"/>
          <w:marTop w:val="600"/>
          <w:marBottom w:val="0"/>
          <w:divBdr>
            <w:top w:val="none" w:sz="0" w:space="0" w:color="auto"/>
            <w:left w:val="none" w:sz="0" w:space="0" w:color="auto"/>
            <w:bottom w:val="none" w:sz="0" w:space="0" w:color="auto"/>
            <w:right w:val="none" w:sz="0" w:space="0" w:color="auto"/>
          </w:divBdr>
          <w:divsChild>
            <w:div w:id="5328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6528">
      <w:bodyDiv w:val="1"/>
      <w:marLeft w:val="0"/>
      <w:marRight w:val="0"/>
      <w:marTop w:val="0"/>
      <w:marBottom w:val="0"/>
      <w:divBdr>
        <w:top w:val="none" w:sz="0" w:space="0" w:color="auto"/>
        <w:left w:val="none" w:sz="0" w:space="0" w:color="auto"/>
        <w:bottom w:val="none" w:sz="0" w:space="0" w:color="auto"/>
        <w:right w:val="none" w:sz="0" w:space="0" w:color="auto"/>
      </w:divBdr>
    </w:div>
    <w:div w:id="659503988">
      <w:bodyDiv w:val="1"/>
      <w:marLeft w:val="0"/>
      <w:marRight w:val="0"/>
      <w:marTop w:val="0"/>
      <w:marBottom w:val="0"/>
      <w:divBdr>
        <w:top w:val="none" w:sz="0" w:space="0" w:color="auto"/>
        <w:left w:val="none" w:sz="0" w:space="0" w:color="auto"/>
        <w:bottom w:val="none" w:sz="0" w:space="0" w:color="auto"/>
        <w:right w:val="none" w:sz="0" w:space="0" w:color="auto"/>
      </w:divBdr>
    </w:div>
    <w:div w:id="1303848134">
      <w:bodyDiv w:val="1"/>
      <w:marLeft w:val="0"/>
      <w:marRight w:val="0"/>
      <w:marTop w:val="0"/>
      <w:marBottom w:val="0"/>
      <w:divBdr>
        <w:top w:val="none" w:sz="0" w:space="0" w:color="auto"/>
        <w:left w:val="none" w:sz="0" w:space="0" w:color="auto"/>
        <w:bottom w:val="none" w:sz="0" w:space="0" w:color="auto"/>
        <w:right w:val="none" w:sz="0" w:space="0" w:color="auto"/>
      </w:divBdr>
    </w:div>
    <w:div w:id="1478574256">
      <w:bodyDiv w:val="1"/>
      <w:marLeft w:val="0"/>
      <w:marRight w:val="0"/>
      <w:marTop w:val="0"/>
      <w:marBottom w:val="0"/>
      <w:divBdr>
        <w:top w:val="none" w:sz="0" w:space="0" w:color="auto"/>
        <w:left w:val="none" w:sz="0" w:space="0" w:color="auto"/>
        <w:bottom w:val="none" w:sz="0" w:space="0" w:color="auto"/>
        <w:right w:val="none" w:sz="0" w:space="0" w:color="auto"/>
      </w:divBdr>
      <w:divsChild>
        <w:div w:id="2096629272">
          <w:marLeft w:val="0"/>
          <w:marRight w:val="0"/>
          <w:marTop w:val="0"/>
          <w:marBottom w:val="0"/>
          <w:divBdr>
            <w:top w:val="none" w:sz="0" w:space="0" w:color="auto"/>
            <w:left w:val="none" w:sz="0" w:space="0" w:color="auto"/>
            <w:bottom w:val="none" w:sz="0" w:space="0" w:color="auto"/>
            <w:right w:val="none" w:sz="0" w:space="0" w:color="auto"/>
          </w:divBdr>
          <w:divsChild>
            <w:div w:id="255478364">
              <w:marLeft w:val="0"/>
              <w:marRight w:val="0"/>
              <w:marTop w:val="0"/>
              <w:marBottom w:val="0"/>
              <w:divBdr>
                <w:top w:val="none" w:sz="0" w:space="0" w:color="auto"/>
                <w:left w:val="none" w:sz="0" w:space="0" w:color="auto"/>
                <w:bottom w:val="none" w:sz="0" w:space="0" w:color="auto"/>
                <w:right w:val="none" w:sz="0" w:space="0" w:color="auto"/>
              </w:divBdr>
            </w:div>
            <w:div w:id="1335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346348">
      <w:bodyDiv w:val="1"/>
      <w:marLeft w:val="0"/>
      <w:marRight w:val="0"/>
      <w:marTop w:val="0"/>
      <w:marBottom w:val="0"/>
      <w:divBdr>
        <w:top w:val="none" w:sz="0" w:space="0" w:color="auto"/>
        <w:left w:val="none" w:sz="0" w:space="0" w:color="auto"/>
        <w:bottom w:val="none" w:sz="0" w:space="0" w:color="auto"/>
        <w:right w:val="none" w:sz="0" w:space="0" w:color="auto"/>
      </w:divBdr>
      <w:divsChild>
        <w:div w:id="342709416">
          <w:marLeft w:val="0"/>
          <w:marRight w:val="0"/>
          <w:marTop w:val="0"/>
          <w:marBottom w:val="0"/>
          <w:divBdr>
            <w:top w:val="none" w:sz="0" w:space="0" w:color="auto"/>
            <w:left w:val="none" w:sz="0" w:space="0" w:color="auto"/>
            <w:bottom w:val="none" w:sz="0" w:space="0" w:color="auto"/>
            <w:right w:val="none" w:sz="0" w:space="0" w:color="auto"/>
          </w:divBdr>
        </w:div>
      </w:divsChild>
    </w:div>
    <w:div w:id="1742948496">
      <w:bodyDiv w:val="1"/>
      <w:marLeft w:val="0"/>
      <w:marRight w:val="0"/>
      <w:marTop w:val="0"/>
      <w:marBottom w:val="0"/>
      <w:divBdr>
        <w:top w:val="none" w:sz="0" w:space="0" w:color="auto"/>
        <w:left w:val="none" w:sz="0" w:space="0" w:color="auto"/>
        <w:bottom w:val="none" w:sz="0" w:space="0" w:color="auto"/>
        <w:right w:val="none" w:sz="0" w:space="0" w:color="auto"/>
      </w:divBdr>
    </w:div>
    <w:div w:id="1854101148">
      <w:bodyDiv w:val="1"/>
      <w:marLeft w:val="0"/>
      <w:marRight w:val="0"/>
      <w:marTop w:val="0"/>
      <w:marBottom w:val="0"/>
      <w:divBdr>
        <w:top w:val="none" w:sz="0" w:space="0" w:color="auto"/>
        <w:left w:val="none" w:sz="0" w:space="0" w:color="auto"/>
        <w:bottom w:val="none" w:sz="0" w:space="0" w:color="auto"/>
        <w:right w:val="none" w:sz="0" w:space="0" w:color="auto"/>
      </w:divBdr>
    </w:div>
    <w:div w:id="1881279926">
      <w:bodyDiv w:val="1"/>
      <w:marLeft w:val="0"/>
      <w:marRight w:val="0"/>
      <w:marTop w:val="0"/>
      <w:marBottom w:val="0"/>
      <w:divBdr>
        <w:top w:val="none" w:sz="0" w:space="0" w:color="auto"/>
        <w:left w:val="none" w:sz="0" w:space="0" w:color="auto"/>
        <w:bottom w:val="none" w:sz="0" w:space="0" w:color="auto"/>
        <w:right w:val="none" w:sz="0" w:space="0" w:color="auto"/>
      </w:divBdr>
    </w:div>
    <w:div w:id="1954820639">
      <w:bodyDiv w:val="1"/>
      <w:marLeft w:val="0"/>
      <w:marRight w:val="0"/>
      <w:marTop w:val="0"/>
      <w:marBottom w:val="0"/>
      <w:divBdr>
        <w:top w:val="none" w:sz="0" w:space="0" w:color="auto"/>
        <w:left w:val="none" w:sz="0" w:space="0" w:color="auto"/>
        <w:bottom w:val="none" w:sz="0" w:space="0" w:color="auto"/>
        <w:right w:val="none" w:sz="0" w:space="0" w:color="auto"/>
      </w:divBdr>
    </w:div>
    <w:div w:id="1974670576">
      <w:bodyDiv w:val="1"/>
      <w:marLeft w:val="0"/>
      <w:marRight w:val="0"/>
      <w:marTop w:val="0"/>
      <w:marBottom w:val="0"/>
      <w:divBdr>
        <w:top w:val="none" w:sz="0" w:space="0" w:color="auto"/>
        <w:left w:val="none" w:sz="0" w:space="0" w:color="auto"/>
        <w:bottom w:val="none" w:sz="0" w:space="0" w:color="auto"/>
        <w:right w:val="none" w:sz="0" w:space="0" w:color="auto"/>
      </w:divBdr>
    </w:div>
    <w:div w:id="20478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bc/bcsc/doc/2019/2019bcsc2337/2019bcsc2337.pdf" TargetMode="External"/><Relationship Id="rId13" Type="http://schemas.openxmlformats.org/officeDocument/2006/relationships/hyperlink" Target="https://www.canlii.org/en/ab/abqb/doc/1993/1993canlii7140/1993canlii7140.html" TargetMode="External"/><Relationship Id="rId18" Type="http://schemas.openxmlformats.org/officeDocument/2006/relationships/hyperlink" Target="https://www.canlii.org/en/bc/bcsc/doc/2016/2016bcsc2469/2016bcsc2469.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anlii.org/en/bc/bcca/doc/2007/2007bcca431/2007bcca431.pdf" TargetMode="External"/><Relationship Id="rId12" Type="http://schemas.openxmlformats.org/officeDocument/2006/relationships/hyperlink" Target="https://www.canlii.org/en/bc/bcca/doc/1951/1951canlii252/1951canlii252.html" TargetMode="External"/><Relationship Id="rId17" Type="http://schemas.openxmlformats.org/officeDocument/2006/relationships/hyperlink" Target="http://www.courts.gov.bc.ca/jdb-txt/SC/12/10/2012BCSC1091.htm" TargetMode="External"/><Relationship Id="rId2" Type="http://schemas.openxmlformats.org/officeDocument/2006/relationships/styles" Target="styles.xml"/><Relationship Id="rId16" Type="http://schemas.openxmlformats.org/officeDocument/2006/relationships/hyperlink" Target="https://www.canlii.org/en/bc/bcca/doc/2007/2007bcca431/2007bcca431.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lii.org/en/ca/scc/doc/1997/1997canlii324/1997canlii324.html" TargetMode="External"/><Relationship Id="rId5" Type="http://schemas.openxmlformats.org/officeDocument/2006/relationships/footnotes" Target="footnotes.xml"/><Relationship Id="rId15" Type="http://schemas.openxmlformats.org/officeDocument/2006/relationships/hyperlink" Target="https://www.canlii.org/en/bc/bcsc/doc/2019/2019bcsc2337/2019bcsc2337.pdf" TargetMode="External"/><Relationship Id="rId10" Type="http://schemas.openxmlformats.org/officeDocument/2006/relationships/hyperlink" Target="https://www.canlii.org/en/bc/bcca/doc/1951/1951canlii252/1951canlii252.html" TargetMode="External"/><Relationship Id="rId19" Type="http://schemas.openxmlformats.org/officeDocument/2006/relationships/hyperlink" Target="https://www.canlii.org/en/bc/bcsc/doc/2017/2017bcsc347/2017bcsc347.pdf" TargetMode="External"/><Relationship Id="rId4" Type="http://schemas.openxmlformats.org/officeDocument/2006/relationships/webSettings" Target="webSettings.xml"/><Relationship Id="rId9" Type="http://schemas.openxmlformats.org/officeDocument/2006/relationships/hyperlink" Target="https://www.canlii.org/en/ca/scc/doc/1919/1919canlii11/1919canlii11.html" TargetMode="External"/><Relationship Id="rId14" Type="http://schemas.openxmlformats.org/officeDocument/2006/relationships/hyperlink" Target="https://www.canlii.org/en/ab/abqb/doc/1993/1993canlii7140/1993canlii7140.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18</Pages>
  <Words>4933</Words>
  <Characters>28123</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Kovacs</dc:creator>
  <cp:keywords/>
  <dc:description/>
  <cp:lastModifiedBy>Sandy Kovacs</cp:lastModifiedBy>
  <cp:revision>7</cp:revision>
  <dcterms:created xsi:type="dcterms:W3CDTF">2021-03-16T15:58:00Z</dcterms:created>
  <dcterms:modified xsi:type="dcterms:W3CDTF">2021-03-16T18:32:00Z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\2021\2021</vt:lpwstr>
  </property>
</Properties>
</file>